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D26B88" w14:textId="77777777" w:rsidR="002201A3" w:rsidRDefault="002201A3">
      <w:pPr>
        <w:pStyle w:val="BodyText"/>
        <w:spacing w:before="9"/>
        <w:rPr>
          <w:rFonts w:ascii="Times New Roman"/>
          <w:sz w:val="16"/>
        </w:rPr>
      </w:pPr>
    </w:p>
    <w:p w14:paraId="6BE5A911" w14:textId="3DF0446F" w:rsidR="00D94DFA" w:rsidRDefault="00B26975" w:rsidP="00B36808">
      <w:pPr>
        <w:pStyle w:val="Title"/>
        <w:ind w:left="720"/>
        <w:rPr>
          <w:spacing w:val="-2"/>
        </w:rPr>
      </w:pPr>
      <w:r>
        <w:t>California</w:t>
      </w:r>
      <w:r>
        <w:rPr>
          <w:spacing w:val="-3"/>
        </w:rPr>
        <w:t xml:space="preserve"> </w:t>
      </w:r>
      <w:r w:rsidR="005A5FE8">
        <w:t xml:space="preserve">Employment Report for </w:t>
      </w:r>
      <w:r w:rsidR="00380DAC">
        <w:t>November</w:t>
      </w:r>
      <w:r w:rsidR="002018CF">
        <w:t xml:space="preserve"> 2024</w:t>
      </w:r>
    </w:p>
    <w:p w14:paraId="7A1215C8" w14:textId="63ADCAC3" w:rsidR="00CF42EE" w:rsidRDefault="00AF30D3" w:rsidP="00380DAC">
      <w:pPr>
        <w:pStyle w:val="BodyText"/>
        <w:spacing w:before="193" w:line="259" w:lineRule="auto"/>
        <w:ind w:left="100" w:right="403"/>
      </w:pPr>
      <w:r>
        <w:rPr>
          <w:spacing w:val="-2"/>
        </w:rPr>
        <w:t xml:space="preserve">The </w:t>
      </w:r>
      <w:r w:rsidR="00A9159F" w:rsidRPr="00A9159F">
        <w:rPr>
          <w:spacing w:val="-2"/>
        </w:rPr>
        <w:t xml:space="preserve">Center for Jobs and the Economy has released our initial analysis of the </w:t>
      </w:r>
      <w:r w:rsidR="00380DAC">
        <w:rPr>
          <w:spacing w:val="-2"/>
        </w:rPr>
        <w:t>November</w:t>
      </w:r>
      <w:r w:rsidR="00A9159F" w:rsidRPr="00A9159F">
        <w:rPr>
          <w:spacing w:val="-2"/>
        </w:rPr>
        <w:t xml:space="preserve"> Employment Report from the California Employment Development Department. For additional information and data about the</w:t>
      </w:r>
      <w:r w:rsidR="00AB155B">
        <w:rPr>
          <w:spacing w:val="-2"/>
        </w:rPr>
        <w:t xml:space="preserve"> </w:t>
      </w:r>
      <w:r w:rsidR="00A9159F" w:rsidRPr="00A9159F">
        <w:rPr>
          <w:spacing w:val="-2"/>
        </w:rPr>
        <w:t>California economy visit</w:t>
      </w:r>
      <w:r w:rsidR="00260D1D">
        <w:rPr>
          <w:rFonts w:ascii="Arial" w:hAnsi="Arial" w:cs="Arial"/>
          <w:color w:val="272727"/>
          <w:sz w:val="36"/>
          <w:szCs w:val="36"/>
          <w:shd w:val="clear" w:color="auto" w:fill="FFFFFF"/>
        </w:rPr>
        <w:t xml:space="preserve"> </w:t>
      </w:r>
      <w:hyperlink r:id="rId7" w:history="1">
        <w:r w:rsidR="00260D1D" w:rsidRPr="00274E60">
          <w:rPr>
            <w:rStyle w:val="Hyperlink"/>
            <w:spacing w:val="-2"/>
          </w:rPr>
          <w:t>www.centerforjobs.org/ca.</w:t>
        </w:r>
      </w:hyperlink>
      <w:r w:rsidR="00260D1D">
        <w:rPr>
          <w:spacing w:val="-2"/>
        </w:rPr>
        <w:t xml:space="preserve"> </w:t>
      </w:r>
      <w:r w:rsidR="00423DBA">
        <w:rPr>
          <w:spacing w:val="-2"/>
        </w:rPr>
        <w:t xml:space="preserve"> </w:t>
      </w:r>
      <w:r w:rsidR="00380DAC">
        <w:rPr>
          <w:spacing w:val="-2"/>
        </w:rPr>
        <w:t>Due to the upcoming holidays, we will be publishing only the current report rather than our typical initial and full versions.</w:t>
      </w:r>
    </w:p>
    <w:p w14:paraId="1CC9C7FC" w14:textId="77777777" w:rsidR="00CF42EE" w:rsidRDefault="00CF42EE" w:rsidP="00CF42EE"/>
    <w:p w14:paraId="3F132BA8" w14:textId="77777777" w:rsidR="00030577" w:rsidRDefault="00030577" w:rsidP="00DC2366"/>
    <w:p w14:paraId="5DFD2C1F" w14:textId="77777777" w:rsidR="00537102" w:rsidRDefault="00537102" w:rsidP="00535BD0">
      <w:pPr>
        <w:pStyle w:val="BodyText"/>
        <w:rPr>
          <w:b/>
          <w:sz w:val="20"/>
        </w:rPr>
      </w:pPr>
    </w:p>
    <w:p w14:paraId="1707032B" w14:textId="77777777" w:rsidR="00CF42EE" w:rsidRDefault="00CF42EE" w:rsidP="00CF42EE">
      <w:pPr>
        <w:spacing w:before="161"/>
        <w:ind w:left="100"/>
        <w:rPr>
          <w:b/>
          <w:sz w:val="20"/>
          <w:szCs w:val="20"/>
        </w:rPr>
      </w:pPr>
      <w:r>
        <w:rPr>
          <w:b/>
          <w:sz w:val="28"/>
        </w:rPr>
        <w:t>California Labor Force</w:t>
      </w:r>
    </w:p>
    <w:p w14:paraId="03113642" w14:textId="77777777" w:rsidR="00CF42EE" w:rsidRDefault="00CF42EE" w:rsidP="00CF42EE">
      <w:pPr>
        <w:spacing w:before="161"/>
        <w:ind w:left="100"/>
        <w:rPr>
          <w:b/>
          <w:sz w:val="20"/>
          <w:szCs w:val="20"/>
        </w:rPr>
      </w:pPr>
    </w:p>
    <w:tbl>
      <w:tblPr>
        <w:tblW w:w="6258" w:type="dxa"/>
        <w:jc w:val="center"/>
        <w:tblLook w:val="04A0" w:firstRow="1" w:lastRow="0" w:firstColumn="1" w:lastColumn="0" w:noHBand="0" w:noVBand="1"/>
      </w:tblPr>
      <w:tblGrid>
        <w:gridCol w:w="1960"/>
        <w:gridCol w:w="1127"/>
        <w:gridCol w:w="840"/>
        <w:gridCol w:w="262"/>
        <w:gridCol w:w="1229"/>
        <w:gridCol w:w="840"/>
      </w:tblGrid>
      <w:tr w:rsidR="00CF42EE" w:rsidRPr="0023248A" w14:paraId="0D84489C" w14:textId="77777777" w:rsidTr="00F02E8D">
        <w:trPr>
          <w:trHeight w:val="289"/>
          <w:jc w:val="center"/>
        </w:trPr>
        <w:tc>
          <w:tcPr>
            <w:tcW w:w="1960" w:type="dxa"/>
            <w:tcBorders>
              <w:top w:val="nil"/>
              <w:left w:val="nil"/>
              <w:bottom w:val="nil"/>
              <w:right w:val="nil"/>
            </w:tcBorders>
            <w:shd w:val="clear" w:color="000000" w:fill="0F243E"/>
            <w:vAlign w:val="center"/>
            <w:hideMark/>
          </w:tcPr>
          <w:p w14:paraId="465B26D7" w14:textId="77777777" w:rsidR="00CF42EE" w:rsidRPr="0023248A" w:rsidRDefault="00CF42EE" w:rsidP="00F02E8D">
            <w:pPr>
              <w:rPr>
                <w:rFonts w:eastAsia="Times New Roman"/>
                <w:b/>
                <w:bCs/>
                <w:color w:val="FFFFFF"/>
                <w:sz w:val="18"/>
                <w:szCs w:val="18"/>
              </w:rPr>
            </w:pPr>
            <w:r w:rsidRPr="0023248A">
              <w:rPr>
                <w:rFonts w:eastAsia="Times New Roman"/>
                <w:b/>
                <w:bCs/>
                <w:color w:val="FFFFFF"/>
                <w:sz w:val="18"/>
                <w:szCs w:val="18"/>
              </w:rPr>
              <w:t>Seasonally Adjusted</w:t>
            </w:r>
          </w:p>
        </w:tc>
        <w:tc>
          <w:tcPr>
            <w:tcW w:w="1127" w:type="dxa"/>
            <w:tcBorders>
              <w:top w:val="nil"/>
              <w:left w:val="nil"/>
              <w:bottom w:val="nil"/>
              <w:right w:val="nil"/>
            </w:tcBorders>
            <w:shd w:val="clear" w:color="000000" w:fill="0F243E"/>
            <w:vAlign w:val="center"/>
            <w:hideMark/>
          </w:tcPr>
          <w:p w14:paraId="31EDEE09" w14:textId="77777777" w:rsidR="00CF42EE" w:rsidRPr="0023248A" w:rsidRDefault="00CF42EE" w:rsidP="00F02E8D">
            <w:pPr>
              <w:jc w:val="center"/>
              <w:rPr>
                <w:rFonts w:eastAsia="Times New Roman"/>
                <w:b/>
                <w:bCs/>
                <w:color w:val="FFFFFF"/>
                <w:sz w:val="18"/>
                <w:szCs w:val="18"/>
              </w:rPr>
            </w:pPr>
            <w:r w:rsidRPr="0023248A">
              <w:rPr>
                <w:rFonts w:eastAsia="Times New Roman"/>
                <w:b/>
                <w:bCs/>
                <w:color w:val="FFFFFF"/>
                <w:sz w:val="18"/>
                <w:szCs w:val="18"/>
              </w:rPr>
              <w:t>California</w:t>
            </w:r>
          </w:p>
        </w:tc>
        <w:tc>
          <w:tcPr>
            <w:tcW w:w="840" w:type="dxa"/>
            <w:tcBorders>
              <w:top w:val="nil"/>
              <w:left w:val="nil"/>
              <w:bottom w:val="nil"/>
              <w:right w:val="nil"/>
            </w:tcBorders>
            <w:shd w:val="clear" w:color="000000" w:fill="0F243E"/>
            <w:vAlign w:val="center"/>
            <w:hideMark/>
          </w:tcPr>
          <w:p w14:paraId="0FD19747" w14:textId="77777777" w:rsidR="00CF42EE" w:rsidRPr="0023248A" w:rsidRDefault="00CF42EE" w:rsidP="00F02E8D">
            <w:pPr>
              <w:jc w:val="center"/>
              <w:rPr>
                <w:rFonts w:eastAsia="Times New Roman"/>
                <w:b/>
                <w:bCs/>
                <w:color w:val="FFFFFF"/>
                <w:sz w:val="18"/>
                <w:szCs w:val="18"/>
              </w:rPr>
            </w:pPr>
            <w:r w:rsidRPr="0023248A">
              <w:rPr>
                <w:rFonts w:eastAsia="Times New Roman"/>
                <w:b/>
                <w:bCs/>
                <w:color w:val="FFFFFF"/>
                <w:sz w:val="18"/>
                <w:szCs w:val="18"/>
              </w:rPr>
              <w:t> </w:t>
            </w:r>
          </w:p>
        </w:tc>
        <w:tc>
          <w:tcPr>
            <w:tcW w:w="262" w:type="dxa"/>
            <w:tcBorders>
              <w:top w:val="nil"/>
              <w:left w:val="nil"/>
              <w:bottom w:val="nil"/>
              <w:right w:val="nil"/>
            </w:tcBorders>
            <w:shd w:val="clear" w:color="000000" w:fill="0F243E"/>
            <w:vAlign w:val="center"/>
            <w:hideMark/>
          </w:tcPr>
          <w:p w14:paraId="76A5479F" w14:textId="77777777" w:rsidR="00CF42EE" w:rsidRPr="0023248A" w:rsidRDefault="00CF42EE" w:rsidP="00F02E8D">
            <w:pPr>
              <w:jc w:val="center"/>
              <w:rPr>
                <w:rFonts w:eastAsia="Times New Roman"/>
                <w:b/>
                <w:bCs/>
                <w:color w:val="FFFFFF"/>
                <w:sz w:val="18"/>
                <w:szCs w:val="18"/>
              </w:rPr>
            </w:pPr>
            <w:r w:rsidRPr="0023248A">
              <w:rPr>
                <w:rFonts w:eastAsia="Times New Roman"/>
                <w:b/>
                <w:bCs/>
                <w:color w:val="FFFFFF"/>
                <w:sz w:val="18"/>
                <w:szCs w:val="18"/>
              </w:rPr>
              <w:t> </w:t>
            </w:r>
          </w:p>
        </w:tc>
        <w:tc>
          <w:tcPr>
            <w:tcW w:w="1229" w:type="dxa"/>
            <w:tcBorders>
              <w:top w:val="nil"/>
              <w:left w:val="nil"/>
              <w:bottom w:val="nil"/>
              <w:right w:val="nil"/>
            </w:tcBorders>
            <w:shd w:val="clear" w:color="000000" w:fill="0F243E"/>
            <w:vAlign w:val="center"/>
            <w:hideMark/>
          </w:tcPr>
          <w:p w14:paraId="3DB98DE1" w14:textId="77777777" w:rsidR="00CF42EE" w:rsidRPr="0023248A" w:rsidRDefault="00CF42EE" w:rsidP="00F02E8D">
            <w:pPr>
              <w:jc w:val="center"/>
              <w:rPr>
                <w:rFonts w:eastAsia="Times New Roman"/>
                <w:b/>
                <w:bCs/>
                <w:color w:val="FFFFFF"/>
                <w:sz w:val="18"/>
                <w:szCs w:val="18"/>
              </w:rPr>
            </w:pPr>
            <w:r w:rsidRPr="0023248A">
              <w:rPr>
                <w:rFonts w:eastAsia="Times New Roman"/>
                <w:b/>
                <w:bCs/>
                <w:color w:val="FFFFFF"/>
                <w:sz w:val="18"/>
                <w:szCs w:val="18"/>
              </w:rPr>
              <w:t>US</w:t>
            </w:r>
          </w:p>
        </w:tc>
        <w:tc>
          <w:tcPr>
            <w:tcW w:w="840" w:type="dxa"/>
            <w:tcBorders>
              <w:top w:val="nil"/>
              <w:left w:val="nil"/>
              <w:bottom w:val="nil"/>
              <w:right w:val="nil"/>
            </w:tcBorders>
            <w:shd w:val="clear" w:color="000000" w:fill="0F243E"/>
            <w:vAlign w:val="center"/>
            <w:hideMark/>
          </w:tcPr>
          <w:p w14:paraId="1284D8F7" w14:textId="77777777" w:rsidR="00CF42EE" w:rsidRPr="0023248A" w:rsidRDefault="00CF42EE" w:rsidP="00F02E8D">
            <w:pPr>
              <w:jc w:val="center"/>
              <w:rPr>
                <w:rFonts w:eastAsia="Times New Roman"/>
                <w:b/>
                <w:bCs/>
                <w:color w:val="FFFFFF"/>
                <w:sz w:val="18"/>
                <w:szCs w:val="18"/>
              </w:rPr>
            </w:pPr>
            <w:r w:rsidRPr="0023248A">
              <w:rPr>
                <w:rFonts w:eastAsia="Times New Roman"/>
                <w:b/>
                <w:bCs/>
                <w:color w:val="FFFFFF"/>
                <w:sz w:val="18"/>
                <w:szCs w:val="18"/>
              </w:rPr>
              <w:t> </w:t>
            </w:r>
          </w:p>
        </w:tc>
      </w:tr>
      <w:tr w:rsidR="0022006B" w:rsidRPr="0023248A" w14:paraId="3D9B64B0" w14:textId="77777777" w:rsidTr="00F02E8D">
        <w:trPr>
          <w:trHeight w:val="360"/>
          <w:jc w:val="center"/>
        </w:trPr>
        <w:tc>
          <w:tcPr>
            <w:tcW w:w="1960" w:type="dxa"/>
            <w:tcBorders>
              <w:top w:val="nil"/>
              <w:left w:val="nil"/>
              <w:bottom w:val="nil"/>
              <w:right w:val="nil"/>
            </w:tcBorders>
            <w:shd w:val="clear" w:color="000000" w:fill="FFFFFF"/>
            <w:vAlign w:val="center"/>
            <w:hideMark/>
          </w:tcPr>
          <w:p w14:paraId="26E24A16" w14:textId="77777777" w:rsidR="0022006B" w:rsidRPr="0023248A" w:rsidRDefault="0022006B" w:rsidP="0022006B">
            <w:pPr>
              <w:rPr>
                <w:rFonts w:eastAsia="Times New Roman"/>
                <w:color w:val="000000"/>
              </w:rPr>
            </w:pPr>
            <w:r w:rsidRPr="0023248A">
              <w:rPr>
                <w:color w:val="000000"/>
              </w:rPr>
              <w:t> </w:t>
            </w:r>
          </w:p>
        </w:tc>
        <w:tc>
          <w:tcPr>
            <w:tcW w:w="1127" w:type="dxa"/>
            <w:tcBorders>
              <w:top w:val="nil"/>
              <w:left w:val="nil"/>
              <w:bottom w:val="nil"/>
              <w:right w:val="nil"/>
            </w:tcBorders>
            <w:shd w:val="clear" w:color="000000" w:fill="FFFFFF"/>
            <w:vAlign w:val="center"/>
            <w:hideMark/>
          </w:tcPr>
          <w:p w14:paraId="5240F76C" w14:textId="40DF9502" w:rsidR="0022006B" w:rsidRPr="0023248A" w:rsidRDefault="0022006B" w:rsidP="0022006B">
            <w:pPr>
              <w:jc w:val="right"/>
              <w:rPr>
                <w:rFonts w:eastAsia="Times New Roman"/>
                <w:color w:val="000000"/>
                <w:sz w:val="12"/>
                <w:szCs w:val="12"/>
              </w:rPr>
            </w:pPr>
            <w:r>
              <w:rPr>
                <w:color w:val="000000"/>
                <w:sz w:val="12"/>
                <w:szCs w:val="12"/>
              </w:rPr>
              <w:t>Nov 2024</w:t>
            </w:r>
          </w:p>
        </w:tc>
        <w:tc>
          <w:tcPr>
            <w:tcW w:w="840" w:type="dxa"/>
            <w:tcBorders>
              <w:top w:val="nil"/>
              <w:left w:val="nil"/>
              <w:bottom w:val="nil"/>
              <w:right w:val="nil"/>
            </w:tcBorders>
            <w:shd w:val="clear" w:color="000000" w:fill="FFFFFF"/>
            <w:vAlign w:val="center"/>
            <w:hideMark/>
          </w:tcPr>
          <w:p w14:paraId="2160C460" w14:textId="0B099AA8" w:rsidR="0022006B" w:rsidRPr="0023248A" w:rsidRDefault="0022006B" w:rsidP="0022006B">
            <w:pPr>
              <w:jc w:val="right"/>
              <w:rPr>
                <w:rFonts w:eastAsia="Times New Roman"/>
                <w:color w:val="000000"/>
                <w:sz w:val="12"/>
                <w:szCs w:val="12"/>
              </w:rPr>
            </w:pPr>
            <w:r>
              <w:rPr>
                <w:color w:val="000000"/>
                <w:sz w:val="12"/>
                <w:szCs w:val="12"/>
              </w:rPr>
              <w:t>Change from Oct 2024</w:t>
            </w:r>
          </w:p>
        </w:tc>
        <w:tc>
          <w:tcPr>
            <w:tcW w:w="262" w:type="dxa"/>
            <w:tcBorders>
              <w:top w:val="nil"/>
              <w:left w:val="nil"/>
              <w:bottom w:val="nil"/>
              <w:right w:val="nil"/>
            </w:tcBorders>
            <w:shd w:val="clear" w:color="000000" w:fill="FFFFFF"/>
            <w:vAlign w:val="center"/>
            <w:hideMark/>
          </w:tcPr>
          <w:p w14:paraId="185A5E0F" w14:textId="402D6214" w:rsidR="0022006B" w:rsidRPr="0023248A" w:rsidRDefault="0022006B" w:rsidP="0022006B">
            <w:pPr>
              <w:jc w:val="right"/>
              <w:rPr>
                <w:rFonts w:eastAsia="Times New Roman"/>
                <w:color w:val="000000"/>
                <w:sz w:val="12"/>
                <w:szCs w:val="12"/>
              </w:rPr>
            </w:pPr>
            <w:r>
              <w:rPr>
                <w:color w:val="000000"/>
                <w:sz w:val="12"/>
                <w:szCs w:val="12"/>
              </w:rPr>
              <w:t> </w:t>
            </w:r>
          </w:p>
        </w:tc>
        <w:tc>
          <w:tcPr>
            <w:tcW w:w="1229" w:type="dxa"/>
            <w:tcBorders>
              <w:top w:val="nil"/>
              <w:left w:val="nil"/>
              <w:bottom w:val="nil"/>
              <w:right w:val="nil"/>
            </w:tcBorders>
            <w:shd w:val="clear" w:color="000000" w:fill="FFFFFF"/>
            <w:vAlign w:val="center"/>
            <w:hideMark/>
          </w:tcPr>
          <w:p w14:paraId="5DD72E5A" w14:textId="4B4158C9" w:rsidR="0022006B" w:rsidRPr="0023248A" w:rsidRDefault="0022006B" w:rsidP="0022006B">
            <w:pPr>
              <w:jc w:val="right"/>
              <w:rPr>
                <w:rFonts w:eastAsia="Times New Roman"/>
                <w:color w:val="000000"/>
                <w:sz w:val="12"/>
                <w:szCs w:val="12"/>
              </w:rPr>
            </w:pPr>
            <w:r>
              <w:rPr>
                <w:color w:val="000000"/>
                <w:sz w:val="12"/>
                <w:szCs w:val="12"/>
              </w:rPr>
              <w:t>Nov 2024</w:t>
            </w:r>
          </w:p>
        </w:tc>
        <w:tc>
          <w:tcPr>
            <w:tcW w:w="840" w:type="dxa"/>
            <w:tcBorders>
              <w:top w:val="nil"/>
              <w:left w:val="nil"/>
              <w:bottom w:val="nil"/>
              <w:right w:val="nil"/>
            </w:tcBorders>
            <w:shd w:val="clear" w:color="000000" w:fill="FFFFFF"/>
            <w:vAlign w:val="center"/>
            <w:hideMark/>
          </w:tcPr>
          <w:p w14:paraId="231A28C9" w14:textId="5608634B" w:rsidR="0022006B" w:rsidRPr="0023248A" w:rsidRDefault="0022006B" w:rsidP="0022006B">
            <w:pPr>
              <w:jc w:val="right"/>
              <w:rPr>
                <w:rFonts w:eastAsia="Times New Roman"/>
                <w:color w:val="000000"/>
                <w:sz w:val="12"/>
                <w:szCs w:val="12"/>
              </w:rPr>
            </w:pPr>
            <w:r>
              <w:rPr>
                <w:color w:val="000000"/>
                <w:sz w:val="12"/>
                <w:szCs w:val="12"/>
              </w:rPr>
              <w:t>Change from Oct 2024</w:t>
            </w:r>
          </w:p>
        </w:tc>
      </w:tr>
      <w:tr w:rsidR="0022006B" w:rsidRPr="0023248A" w14:paraId="4F6FA85E" w14:textId="77777777" w:rsidTr="00F02E8D">
        <w:trPr>
          <w:trHeight w:val="255"/>
          <w:jc w:val="center"/>
        </w:trPr>
        <w:tc>
          <w:tcPr>
            <w:tcW w:w="1960" w:type="dxa"/>
            <w:tcBorders>
              <w:top w:val="nil"/>
              <w:left w:val="nil"/>
              <w:bottom w:val="nil"/>
              <w:right w:val="nil"/>
            </w:tcBorders>
            <w:shd w:val="clear" w:color="000000" w:fill="FFFFFF"/>
            <w:vAlign w:val="center"/>
            <w:hideMark/>
          </w:tcPr>
          <w:p w14:paraId="0D727A39" w14:textId="77777777" w:rsidR="0022006B" w:rsidRPr="0023248A" w:rsidRDefault="0022006B" w:rsidP="0022006B">
            <w:pPr>
              <w:rPr>
                <w:rFonts w:eastAsia="Times New Roman"/>
                <w:color w:val="000000"/>
                <w:sz w:val="20"/>
                <w:szCs w:val="20"/>
              </w:rPr>
            </w:pPr>
            <w:r w:rsidRPr="0023248A">
              <w:rPr>
                <w:color w:val="000000"/>
                <w:sz w:val="20"/>
                <w:szCs w:val="20"/>
              </w:rPr>
              <w:t>Unemployment Rate</w:t>
            </w:r>
          </w:p>
        </w:tc>
        <w:tc>
          <w:tcPr>
            <w:tcW w:w="1127" w:type="dxa"/>
            <w:tcBorders>
              <w:top w:val="nil"/>
              <w:left w:val="nil"/>
              <w:bottom w:val="nil"/>
              <w:right w:val="nil"/>
            </w:tcBorders>
            <w:shd w:val="clear" w:color="000000" w:fill="FFFFFF"/>
            <w:vAlign w:val="center"/>
            <w:hideMark/>
          </w:tcPr>
          <w:p w14:paraId="7BC79EB7" w14:textId="212950B1" w:rsidR="0022006B" w:rsidRPr="0023248A" w:rsidRDefault="0022006B" w:rsidP="0022006B">
            <w:pPr>
              <w:jc w:val="right"/>
              <w:rPr>
                <w:rFonts w:eastAsia="Times New Roman"/>
                <w:color w:val="000000"/>
                <w:sz w:val="20"/>
                <w:szCs w:val="20"/>
              </w:rPr>
            </w:pPr>
            <w:r>
              <w:rPr>
                <w:color w:val="000000"/>
                <w:sz w:val="20"/>
                <w:szCs w:val="20"/>
              </w:rPr>
              <w:t>5.4%</w:t>
            </w:r>
          </w:p>
        </w:tc>
        <w:tc>
          <w:tcPr>
            <w:tcW w:w="840" w:type="dxa"/>
            <w:tcBorders>
              <w:top w:val="nil"/>
              <w:left w:val="nil"/>
              <w:bottom w:val="nil"/>
              <w:right w:val="nil"/>
            </w:tcBorders>
            <w:shd w:val="clear" w:color="000000" w:fill="FFFFFF"/>
            <w:vAlign w:val="center"/>
            <w:hideMark/>
          </w:tcPr>
          <w:p w14:paraId="3420D3A8" w14:textId="0759E6B2" w:rsidR="0022006B" w:rsidRPr="00BB292D" w:rsidRDefault="0022006B" w:rsidP="0022006B">
            <w:pPr>
              <w:jc w:val="right"/>
              <w:rPr>
                <w:rFonts w:eastAsia="Times New Roman"/>
                <w:color w:val="FF0000"/>
                <w:sz w:val="20"/>
                <w:szCs w:val="20"/>
              </w:rPr>
            </w:pPr>
            <w:r>
              <w:rPr>
                <w:sz w:val="20"/>
                <w:szCs w:val="20"/>
              </w:rPr>
              <w:t>0.0</w:t>
            </w:r>
          </w:p>
        </w:tc>
        <w:tc>
          <w:tcPr>
            <w:tcW w:w="262" w:type="dxa"/>
            <w:tcBorders>
              <w:top w:val="nil"/>
              <w:left w:val="nil"/>
              <w:bottom w:val="nil"/>
              <w:right w:val="nil"/>
            </w:tcBorders>
            <w:shd w:val="clear" w:color="000000" w:fill="FFFFFF"/>
            <w:vAlign w:val="center"/>
            <w:hideMark/>
          </w:tcPr>
          <w:p w14:paraId="6A64B390" w14:textId="12032A39" w:rsidR="0022006B" w:rsidRPr="0023248A" w:rsidRDefault="0022006B" w:rsidP="0022006B">
            <w:pPr>
              <w:jc w:val="right"/>
              <w:rPr>
                <w:rFonts w:eastAsia="Times New Roman"/>
                <w:color w:val="000000"/>
                <w:sz w:val="20"/>
                <w:szCs w:val="20"/>
              </w:rPr>
            </w:pPr>
            <w:r>
              <w:rPr>
                <w:color w:val="000000"/>
                <w:sz w:val="20"/>
                <w:szCs w:val="20"/>
              </w:rPr>
              <w:t> </w:t>
            </w:r>
          </w:p>
        </w:tc>
        <w:tc>
          <w:tcPr>
            <w:tcW w:w="1229" w:type="dxa"/>
            <w:tcBorders>
              <w:top w:val="nil"/>
              <w:left w:val="nil"/>
              <w:bottom w:val="nil"/>
              <w:right w:val="nil"/>
            </w:tcBorders>
            <w:shd w:val="clear" w:color="000000" w:fill="FFFFFF"/>
            <w:vAlign w:val="center"/>
            <w:hideMark/>
          </w:tcPr>
          <w:p w14:paraId="34498BDB" w14:textId="6B40A871" w:rsidR="0022006B" w:rsidRPr="0023248A" w:rsidRDefault="0022006B" w:rsidP="0022006B">
            <w:pPr>
              <w:jc w:val="right"/>
              <w:rPr>
                <w:rFonts w:eastAsia="Times New Roman"/>
                <w:color w:val="000000"/>
                <w:sz w:val="20"/>
                <w:szCs w:val="20"/>
              </w:rPr>
            </w:pPr>
            <w:r>
              <w:rPr>
                <w:color w:val="000000"/>
                <w:sz w:val="20"/>
                <w:szCs w:val="20"/>
              </w:rPr>
              <w:t>4.2%</w:t>
            </w:r>
          </w:p>
        </w:tc>
        <w:tc>
          <w:tcPr>
            <w:tcW w:w="840" w:type="dxa"/>
            <w:tcBorders>
              <w:top w:val="nil"/>
              <w:left w:val="nil"/>
              <w:bottom w:val="nil"/>
              <w:right w:val="nil"/>
            </w:tcBorders>
            <w:shd w:val="clear" w:color="000000" w:fill="FFFFFF"/>
            <w:vAlign w:val="center"/>
            <w:hideMark/>
          </w:tcPr>
          <w:p w14:paraId="048723A8" w14:textId="2B31A481" w:rsidR="0022006B" w:rsidRPr="00345F4C" w:rsidRDefault="0022006B" w:rsidP="0022006B">
            <w:pPr>
              <w:jc w:val="right"/>
              <w:rPr>
                <w:rFonts w:eastAsia="Times New Roman"/>
                <w:color w:val="FF0000"/>
                <w:sz w:val="20"/>
                <w:szCs w:val="20"/>
              </w:rPr>
            </w:pPr>
            <w:r w:rsidRPr="0022006B">
              <w:rPr>
                <w:color w:val="FF0000"/>
                <w:sz w:val="20"/>
                <w:szCs w:val="20"/>
              </w:rPr>
              <w:t>0.1</w:t>
            </w:r>
          </w:p>
        </w:tc>
      </w:tr>
      <w:tr w:rsidR="0022006B" w:rsidRPr="0023248A" w14:paraId="599FB4EB" w14:textId="77777777" w:rsidTr="00F02E8D">
        <w:trPr>
          <w:trHeight w:val="255"/>
          <w:jc w:val="center"/>
        </w:trPr>
        <w:tc>
          <w:tcPr>
            <w:tcW w:w="1960" w:type="dxa"/>
            <w:tcBorders>
              <w:top w:val="nil"/>
              <w:left w:val="nil"/>
              <w:bottom w:val="nil"/>
              <w:right w:val="nil"/>
            </w:tcBorders>
            <w:shd w:val="clear" w:color="000000" w:fill="FFFFFF"/>
            <w:vAlign w:val="center"/>
            <w:hideMark/>
          </w:tcPr>
          <w:p w14:paraId="099AEACE" w14:textId="77777777" w:rsidR="0022006B" w:rsidRPr="0023248A" w:rsidRDefault="0022006B" w:rsidP="0022006B">
            <w:pPr>
              <w:rPr>
                <w:rFonts w:eastAsia="Times New Roman"/>
                <w:color w:val="000000"/>
                <w:sz w:val="20"/>
                <w:szCs w:val="20"/>
              </w:rPr>
            </w:pPr>
            <w:r w:rsidRPr="0023248A">
              <w:rPr>
                <w:color w:val="000000"/>
                <w:sz w:val="20"/>
                <w:szCs w:val="20"/>
              </w:rPr>
              <w:t>Labor Force</w:t>
            </w:r>
          </w:p>
        </w:tc>
        <w:tc>
          <w:tcPr>
            <w:tcW w:w="1127" w:type="dxa"/>
            <w:tcBorders>
              <w:top w:val="nil"/>
              <w:left w:val="nil"/>
              <w:bottom w:val="nil"/>
              <w:right w:val="nil"/>
            </w:tcBorders>
            <w:shd w:val="clear" w:color="000000" w:fill="FFFFFF"/>
            <w:vAlign w:val="center"/>
            <w:hideMark/>
          </w:tcPr>
          <w:p w14:paraId="172E8D59" w14:textId="2656009C" w:rsidR="0022006B" w:rsidRPr="0023248A" w:rsidRDefault="0022006B" w:rsidP="0022006B">
            <w:pPr>
              <w:jc w:val="right"/>
              <w:rPr>
                <w:rFonts w:eastAsia="Times New Roman"/>
                <w:color w:val="000000"/>
                <w:sz w:val="20"/>
                <w:szCs w:val="20"/>
              </w:rPr>
            </w:pPr>
            <w:r>
              <w:rPr>
                <w:color w:val="000000"/>
                <w:sz w:val="20"/>
                <w:szCs w:val="20"/>
              </w:rPr>
              <w:t>19,396,000</w:t>
            </w:r>
          </w:p>
        </w:tc>
        <w:tc>
          <w:tcPr>
            <w:tcW w:w="840" w:type="dxa"/>
            <w:tcBorders>
              <w:top w:val="nil"/>
              <w:left w:val="nil"/>
              <w:bottom w:val="nil"/>
              <w:right w:val="nil"/>
            </w:tcBorders>
            <w:shd w:val="clear" w:color="000000" w:fill="FFFFFF"/>
            <w:vAlign w:val="center"/>
            <w:hideMark/>
          </w:tcPr>
          <w:p w14:paraId="6FF13EC2" w14:textId="6EAAEDED" w:rsidR="0022006B" w:rsidRPr="004C303B" w:rsidRDefault="0022006B" w:rsidP="0022006B">
            <w:pPr>
              <w:jc w:val="right"/>
              <w:rPr>
                <w:rFonts w:eastAsia="Times New Roman"/>
                <w:color w:val="FF0000"/>
                <w:sz w:val="20"/>
                <w:szCs w:val="20"/>
              </w:rPr>
            </w:pPr>
            <w:r w:rsidRPr="0022006B">
              <w:rPr>
                <w:color w:val="FF0000"/>
                <w:sz w:val="20"/>
                <w:szCs w:val="20"/>
              </w:rPr>
              <w:t>-0.1%</w:t>
            </w:r>
          </w:p>
        </w:tc>
        <w:tc>
          <w:tcPr>
            <w:tcW w:w="262" w:type="dxa"/>
            <w:tcBorders>
              <w:top w:val="nil"/>
              <w:left w:val="nil"/>
              <w:bottom w:val="nil"/>
              <w:right w:val="nil"/>
            </w:tcBorders>
            <w:shd w:val="clear" w:color="000000" w:fill="FFFFFF"/>
            <w:vAlign w:val="center"/>
            <w:hideMark/>
          </w:tcPr>
          <w:p w14:paraId="150197DC" w14:textId="12CEBABA" w:rsidR="0022006B" w:rsidRPr="0023248A" w:rsidRDefault="0022006B" w:rsidP="0022006B">
            <w:pPr>
              <w:jc w:val="right"/>
              <w:rPr>
                <w:rFonts w:eastAsia="Times New Roman"/>
                <w:color w:val="000000"/>
                <w:sz w:val="20"/>
                <w:szCs w:val="20"/>
              </w:rPr>
            </w:pPr>
            <w:r>
              <w:rPr>
                <w:color w:val="000000"/>
                <w:sz w:val="20"/>
                <w:szCs w:val="20"/>
              </w:rPr>
              <w:t> </w:t>
            </w:r>
          </w:p>
        </w:tc>
        <w:tc>
          <w:tcPr>
            <w:tcW w:w="1229" w:type="dxa"/>
            <w:tcBorders>
              <w:top w:val="nil"/>
              <w:left w:val="nil"/>
              <w:bottom w:val="nil"/>
              <w:right w:val="nil"/>
            </w:tcBorders>
            <w:shd w:val="clear" w:color="000000" w:fill="FFFFFF"/>
            <w:vAlign w:val="center"/>
            <w:hideMark/>
          </w:tcPr>
          <w:p w14:paraId="792B7E4D" w14:textId="2917A555" w:rsidR="0022006B" w:rsidRPr="0023248A" w:rsidRDefault="0022006B" w:rsidP="0022006B">
            <w:pPr>
              <w:jc w:val="right"/>
              <w:rPr>
                <w:rFonts w:eastAsia="Times New Roman"/>
                <w:color w:val="000000"/>
                <w:sz w:val="20"/>
                <w:szCs w:val="20"/>
              </w:rPr>
            </w:pPr>
            <w:r>
              <w:rPr>
                <w:color w:val="000000"/>
                <w:sz w:val="20"/>
                <w:szCs w:val="20"/>
              </w:rPr>
              <w:t>168,286,000</w:t>
            </w:r>
          </w:p>
        </w:tc>
        <w:tc>
          <w:tcPr>
            <w:tcW w:w="840" w:type="dxa"/>
            <w:tcBorders>
              <w:top w:val="nil"/>
              <w:left w:val="nil"/>
              <w:bottom w:val="nil"/>
              <w:right w:val="nil"/>
            </w:tcBorders>
            <w:shd w:val="clear" w:color="000000" w:fill="FFFFFF"/>
            <w:vAlign w:val="center"/>
            <w:hideMark/>
          </w:tcPr>
          <w:p w14:paraId="149956B2" w14:textId="12B4D40C" w:rsidR="0022006B" w:rsidRPr="00345F4C" w:rsidRDefault="0022006B" w:rsidP="0022006B">
            <w:pPr>
              <w:jc w:val="right"/>
              <w:rPr>
                <w:rFonts w:eastAsia="Times New Roman"/>
                <w:color w:val="FF0000"/>
                <w:sz w:val="20"/>
                <w:szCs w:val="20"/>
              </w:rPr>
            </w:pPr>
            <w:r w:rsidRPr="0022006B">
              <w:rPr>
                <w:color w:val="FF0000"/>
                <w:sz w:val="20"/>
                <w:szCs w:val="20"/>
              </w:rPr>
              <w:t>-0.1%</w:t>
            </w:r>
          </w:p>
        </w:tc>
      </w:tr>
      <w:tr w:rsidR="0022006B" w:rsidRPr="0023248A" w14:paraId="6E729AFB" w14:textId="77777777" w:rsidTr="00F02E8D">
        <w:trPr>
          <w:trHeight w:val="255"/>
          <w:jc w:val="center"/>
        </w:trPr>
        <w:tc>
          <w:tcPr>
            <w:tcW w:w="1960" w:type="dxa"/>
            <w:tcBorders>
              <w:top w:val="nil"/>
              <w:left w:val="nil"/>
              <w:bottom w:val="nil"/>
              <w:right w:val="nil"/>
            </w:tcBorders>
            <w:shd w:val="clear" w:color="000000" w:fill="FFFFFF"/>
            <w:noWrap/>
            <w:vAlign w:val="bottom"/>
            <w:hideMark/>
          </w:tcPr>
          <w:p w14:paraId="5EEC756F" w14:textId="77777777" w:rsidR="0022006B" w:rsidRPr="0023248A" w:rsidRDefault="0022006B" w:rsidP="0022006B">
            <w:pPr>
              <w:rPr>
                <w:rFonts w:eastAsia="Times New Roman"/>
                <w:color w:val="000000"/>
                <w:sz w:val="20"/>
                <w:szCs w:val="20"/>
              </w:rPr>
            </w:pPr>
            <w:r w:rsidRPr="0023248A">
              <w:rPr>
                <w:color w:val="000000"/>
                <w:sz w:val="20"/>
                <w:szCs w:val="20"/>
              </w:rPr>
              <w:t>Participation Rate</w:t>
            </w:r>
          </w:p>
        </w:tc>
        <w:tc>
          <w:tcPr>
            <w:tcW w:w="1127" w:type="dxa"/>
            <w:tcBorders>
              <w:top w:val="nil"/>
              <w:left w:val="nil"/>
              <w:bottom w:val="nil"/>
              <w:right w:val="nil"/>
            </w:tcBorders>
            <w:shd w:val="clear" w:color="000000" w:fill="FFFFFF"/>
            <w:noWrap/>
            <w:vAlign w:val="bottom"/>
            <w:hideMark/>
          </w:tcPr>
          <w:p w14:paraId="306209E7" w14:textId="7156AB18" w:rsidR="0022006B" w:rsidRPr="0023248A" w:rsidRDefault="0022006B" w:rsidP="0022006B">
            <w:pPr>
              <w:jc w:val="right"/>
              <w:rPr>
                <w:rFonts w:eastAsia="Times New Roman"/>
                <w:color w:val="000000"/>
                <w:sz w:val="20"/>
                <w:szCs w:val="20"/>
              </w:rPr>
            </w:pPr>
            <w:r>
              <w:rPr>
                <w:color w:val="000000"/>
                <w:sz w:val="20"/>
                <w:szCs w:val="20"/>
              </w:rPr>
              <w:t>62.1%</w:t>
            </w:r>
          </w:p>
        </w:tc>
        <w:tc>
          <w:tcPr>
            <w:tcW w:w="840" w:type="dxa"/>
            <w:tcBorders>
              <w:top w:val="nil"/>
              <w:left w:val="nil"/>
              <w:bottom w:val="nil"/>
              <w:right w:val="nil"/>
            </w:tcBorders>
            <w:shd w:val="clear" w:color="000000" w:fill="FFFFFF"/>
            <w:noWrap/>
            <w:vAlign w:val="bottom"/>
            <w:hideMark/>
          </w:tcPr>
          <w:p w14:paraId="3C22AFF2" w14:textId="742F949F" w:rsidR="0022006B" w:rsidRPr="00BB292D" w:rsidRDefault="0022006B" w:rsidP="0022006B">
            <w:pPr>
              <w:jc w:val="right"/>
              <w:rPr>
                <w:rFonts w:eastAsia="Times New Roman"/>
                <w:color w:val="FF0000"/>
                <w:sz w:val="20"/>
                <w:szCs w:val="20"/>
              </w:rPr>
            </w:pPr>
            <w:r>
              <w:rPr>
                <w:color w:val="000000"/>
                <w:sz w:val="20"/>
                <w:szCs w:val="20"/>
              </w:rPr>
              <w:t>0.0</w:t>
            </w:r>
          </w:p>
        </w:tc>
        <w:tc>
          <w:tcPr>
            <w:tcW w:w="262" w:type="dxa"/>
            <w:tcBorders>
              <w:top w:val="nil"/>
              <w:left w:val="nil"/>
              <w:bottom w:val="nil"/>
              <w:right w:val="nil"/>
            </w:tcBorders>
            <w:shd w:val="clear" w:color="000000" w:fill="FFFFFF"/>
            <w:noWrap/>
            <w:vAlign w:val="bottom"/>
            <w:hideMark/>
          </w:tcPr>
          <w:p w14:paraId="19C4A644" w14:textId="317E7358" w:rsidR="0022006B" w:rsidRPr="0023248A" w:rsidRDefault="0022006B" w:rsidP="0022006B">
            <w:pPr>
              <w:rPr>
                <w:rFonts w:eastAsia="Times New Roman"/>
                <w:color w:val="000000"/>
                <w:sz w:val="20"/>
                <w:szCs w:val="20"/>
              </w:rPr>
            </w:pPr>
            <w:r>
              <w:rPr>
                <w:color w:val="000000"/>
                <w:sz w:val="20"/>
                <w:szCs w:val="20"/>
              </w:rPr>
              <w:t> </w:t>
            </w:r>
          </w:p>
        </w:tc>
        <w:tc>
          <w:tcPr>
            <w:tcW w:w="1229" w:type="dxa"/>
            <w:tcBorders>
              <w:top w:val="nil"/>
              <w:left w:val="nil"/>
              <w:bottom w:val="nil"/>
              <w:right w:val="nil"/>
            </w:tcBorders>
            <w:shd w:val="clear" w:color="000000" w:fill="FFFFFF"/>
            <w:noWrap/>
            <w:vAlign w:val="bottom"/>
            <w:hideMark/>
          </w:tcPr>
          <w:p w14:paraId="282B3FE4" w14:textId="50D3B8A9" w:rsidR="0022006B" w:rsidRPr="0023248A" w:rsidRDefault="0022006B" w:rsidP="0022006B">
            <w:pPr>
              <w:jc w:val="right"/>
              <w:rPr>
                <w:rFonts w:eastAsia="Times New Roman"/>
                <w:color w:val="000000"/>
                <w:sz w:val="20"/>
                <w:szCs w:val="20"/>
              </w:rPr>
            </w:pPr>
            <w:r>
              <w:rPr>
                <w:color w:val="000000"/>
                <w:sz w:val="20"/>
                <w:szCs w:val="20"/>
              </w:rPr>
              <w:t>62.5%</w:t>
            </w:r>
          </w:p>
        </w:tc>
        <w:tc>
          <w:tcPr>
            <w:tcW w:w="840" w:type="dxa"/>
            <w:tcBorders>
              <w:top w:val="nil"/>
              <w:left w:val="nil"/>
              <w:bottom w:val="nil"/>
              <w:right w:val="nil"/>
            </w:tcBorders>
            <w:shd w:val="clear" w:color="000000" w:fill="FFFFFF"/>
            <w:noWrap/>
            <w:vAlign w:val="bottom"/>
            <w:hideMark/>
          </w:tcPr>
          <w:p w14:paraId="1E3EE8B8" w14:textId="31B26994" w:rsidR="0022006B" w:rsidRPr="00345F4C" w:rsidRDefault="0022006B" w:rsidP="0022006B">
            <w:pPr>
              <w:jc w:val="right"/>
              <w:rPr>
                <w:rFonts w:eastAsia="Times New Roman"/>
                <w:color w:val="FF0000"/>
                <w:sz w:val="20"/>
                <w:szCs w:val="20"/>
              </w:rPr>
            </w:pPr>
            <w:r w:rsidRPr="0022006B">
              <w:rPr>
                <w:color w:val="FF0000"/>
                <w:sz w:val="20"/>
                <w:szCs w:val="20"/>
              </w:rPr>
              <w:t>-0.1</w:t>
            </w:r>
          </w:p>
        </w:tc>
      </w:tr>
      <w:tr w:rsidR="0022006B" w:rsidRPr="0023248A" w14:paraId="6400930B" w14:textId="77777777" w:rsidTr="00F02E8D">
        <w:trPr>
          <w:trHeight w:val="255"/>
          <w:jc w:val="center"/>
        </w:trPr>
        <w:tc>
          <w:tcPr>
            <w:tcW w:w="1960" w:type="dxa"/>
            <w:tcBorders>
              <w:top w:val="nil"/>
              <w:left w:val="nil"/>
              <w:bottom w:val="nil"/>
              <w:right w:val="nil"/>
            </w:tcBorders>
            <w:shd w:val="clear" w:color="000000" w:fill="FFFFFF"/>
            <w:vAlign w:val="center"/>
            <w:hideMark/>
          </w:tcPr>
          <w:p w14:paraId="3DB07B9B" w14:textId="77777777" w:rsidR="0022006B" w:rsidRPr="0023248A" w:rsidRDefault="0022006B" w:rsidP="0022006B">
            <w:pPr>
              <w:rPr>
                <w:rFonts w:eastAsia="Times New Roman"/>
                <w:color w:val="000000"/>
                <w:sz w:val="20"/>
                <w:szCs w:val="20"/>
              </w:rPr>
            </w:pPr>
            <w:r w:rsidRPr="0023248A">
              <w:rPr>
                <w:color w:val="000000"/>
                <w:sz w:val="20"/>
                <w:szCs w:val="20"/>
              </w:rPr>
              <w:t>Employment</w:t>
            </w:r>
          </w:p>
        </w:tc>
        <w:tc>
          <w:tcPr>
            <w:tcW w:w="1127" w:type="dxa"/>
            <w:tcBorders>
              <w:top w:val="nil"/>
              <w:left w:val="nil"/>
              <w:bottom w:val="nil"/>
              <w:right w:val="nil"/>
            </w:tcBorders>
            <w:shd w:val="clear" w:color="000000" w:fill="FFFFFF"/>
            <w:vAlign w:val="center"/>
            <w:hideMark/>
          </w:tcPr>
          <w:p w14:paraId="3682BCDB" w14:textId="3D5BA9AA" w:rsidR="0022006B" w:rsidRPr="0023248A" w:rsidRDefault="0022006B" w:rsidP="0022006B">
            <w:pPr>
              <w:jc w:val="right"/>
              <w:rPr>
                <w:rFonts w:eastAsia="Times New Roman"/>
                <w:color w:val="000000"/>
                <w:sz w:val="20"/>
                <w:szCs w:val="20"/>
              </w:rPr>
            </w:pPr>
            <w:r>
              <w:rPr>
                <w:color w:val="000000"/>
                <w:sz w:val="20"/>
                <w:szCs w:val="20"/>
              </w:rPr>
              <w:t>18,341,000</w:t>
            </w:r>
          </w:p>
        </w:tc>
        <w:tc>
          <w:tcPr>
            <w:tcW w:w="840" w:type="dxa"/>
            <w:tcBorders>
              <w:top w:val="nil"/>
              <w:left w:val="nil"/>
              <w:bottom w:val="nil"/>
              <w:right w:val="nil"/>
            </w:tcBorders>
            <w:shd w:val="clear" w:color="000000" w:fill="FFFFFF"/>
            <w:vAlign w:val="center"/>
            <w:hideMark/>
          </w:tcPr>
          <w:p w14:paraId="5093E557" w14:textId="14951FFF" w:rsidR="0022006B" w:rsidRPr="001E1235" w:rsidRDefault="0022006B" w:rsidP="0022006B">
            <w:pPr>
              <w:jc w:val="right"/>
              <w:rPr>
                <w:rFonts w:eastAsia="Times New Roman"/>
                <w:color w:val="FF0000"/>
                <w:sz w:val="20"/>
                <w:szCs w:val="20"/>
              </w:rPr>
            </w:pPr>
            <w:r w:rsidRPr="0022006B">
              <w:rPr>
                <w:color w:val="FF0000"/>
                <w:sz w:val="20"/>
                <w:szCs w:val="20"/>
              </w:rPr>
              <w:t>-0.1%</w:t>
            </w:r>
          </w:p>
        </w:tc>
        <w:tc>
          <w:tcPr>
            <w:tcW w:w="262" w:type="dxa"/>
            <w:tcBorders>
              <w:top w:val="nil"/>
              <w:left w:val="nil"/>
              <w:bottom w:val="nil"/>
              <w:right w:val="nil"/>
            </w:tcBorders>
            <w:shd w:val="clear" w:color="000000" w:fill="FFFFFF"/>
            <w:vAlign w:val="center"/>
            <w:hideMark/>
          </w:tcPr>
          <w:p w14:paraId="54D214E5" w14:textId="6C44BA37" w:rsidR="0022006B" w:rsidRPr="0023248A" w:rsidRDefault="0022006B" w:rsidP="0022006B">
            <w:pPr>
              <w:jc w:val="right"/>
              <w:rPr>
                <w:rFonts w:eastAsia="Times New Roman"/>
                <w:color w:val="000000"/>
                <w:sz w:val="20"/>
                <w:szCs w:val="20"/>
              </w:rPr>
            </w:pPr>
            <w:r>
              <w:rPr>
                <w:color w:val="000000"/>
                <w:sz w:val="20"/>
                <w:szCs w:val="20"/>
              </w:rPr>
              <w:t> </w:t>
            </w:r>
          </w:p>
        </w:tc>
        <w:tc>
          <w:tcPr>
            <w:tcW w:w="1229" w:type="dxa"/>
            <w:tcBorders>
              <w:top w:val="nil"/>
              <w:left w:val="nil"/>
              <w:bottom w:val="nil"/>
              <w:right w:val="nil"/>
            </w:tcBorders>
            <w:shd w:val="clear" w:color="000000" w:fill="FFFFFF"/>
            <w:vAlign w:val="center"/>
            <w:hideMark/>
          </w:tcPr>
          <w:p w14:paraId="1A786A50" w14:textId="1DE2D146" w:rsidR="0022006B" w:rsidRPr="0023248A" w:rsidRDefault="0022006B" w:rsidP="0022006B">
            <w:pPr>
              <w:jc w:val="right"/>
              <w:rPr>
                <w:rFonts w:eastAsia="Times New Roman"/>
                <w:color w:val="000000"/>
                <w:sz w:val="20"/>
                <w:szCs w:val="20"/>
              </w:rPr>
            </w:pPr>
            <w:r>
              <w:rPr>
                <w:color w:val="000000"/>
                <w:sz w:val="20"/>
                <w:szCs w:val="20"/>
              </w:rPr>
              <w:t>161,141,000</w:t>
            </w:r>
          </w:p>
        </w:tc>
        <w:tc>
          <w:tcPr>
            <w:tcW w:w="840" w:type="dxa"/>
            <w:tcBorders>
              <w:top w:val="nil"/>
              <w:left w:val="nil"/>
              <w:bottom w:val="nil"/>
              <w:right w:val="nil"/>
            </w:tcBorders>
            <w:shd w:val="clear" w:color="000000" w:fill="FFFFFF"/>
            <w:vAlign w:val="center"/>
            <w:hideMark/>
          </w:tcPr>
          <w:p w14:paraId="18933FBA" w14:textId="426C0D6C" w:rsidR="0022006B" w:rsidRPr="001E1235" w:rsidRDefault="0022006B" w:rsidP="0022006B">
            <w:pPr>
              <w:jc w:val="right"/>
              <w:rPr>
                <w:rFonts w:eastAsia="Times New Roman"/>
                <w:color w:val="FF0000"/>
                <w:sz w:val="20"/>
                <w:szCs w:val="20"/>
              </w:rPr>
            </w:pPr>
            <w:r w:rsidRPr="0022006B">
              <w:rPr>
                <w:color w:val="FF0000"/>
                <w:sz w:val="20"/>
                <w:szCs w:val="20"/>
              </w:rPr>
              <w:t>-0.2%</w:t>
            </w:r>
          </w:p>
        </w:tc>
      </w:tr>
      <w:tr w:rsidR="0022006B" w:rsidRPr="0023248A" w14:paraId="79A6CD69" w14:textId="77777777" w:rsidTr="00F02E8D">
        <w:trPr>
          <w:trHeight w:val="300"/>
          <w:jc w:val="center"/>
        </w:trPr>
        <w:tc>
          <w:tcPr>
            <w:tcW w:w="1960" w:type="dxa"/>
            <w:tcBorders>
              <w:top w:val="nil"/>
              <w:left w:val="nil"/>
              <w:bottom w:val="nil"/>
              <w:right w:val="nil"/>
            </w:tcBorders>
            <w:shd w:val="clear" w:color="000000" w:fill="FFFFFF"/>
            <w:vAlign w:val="center"/>
            <w:hideMark/>
          </w:tcPr>
          <w:p w14:paraId="0515E9FC" w14:textId="77777777" w:rsidR="0022006B" w:rsidRPr="0023248A" w:rsidRDefault="0022006B" w:rsidP="0022006B">
            <w:pPr>
              <w:rPr>
                <w:rFonts w:eastAsia="Times New Roman"/>
                <w:color w:val="000000"/>
                <w:sz w:val="20"/>
                <w:szCs w:val="20"/>
              </w:rPr>
            </w:pPr>
            <w:r w:rsidRPr="0023248A">
              <w:rPr>
                <w:color w:val="000000"/>
                <w:sz w:val="20"/>
                <w:szCs w:val="20"/>
              </w:rPr>
              <w:t>Unemployment</w:t>
            </w:r>
          </w:p>
        </w:tc>
        <w:tc>
          <w:tcPr>
            <w:tcW w:w="1127" w:type="dxa"/>
            <w:tcBorders>
              <w:top w:val="nil"/>
              <w:left w:val="nil"/>
              <w:bottom w:val="nil"/>
              <w:right w:val="nil"/>
            </w:tcBorders>
            <w:shd w:val="clear" w:color="000000" w:fill="FFFFFF"/>
            <w:vAlign w:val="center"/>
            <w:hideMark/>
          </w:tcPr>
          <w:p w14:paraId="34BE2BFC" w14:textId="627E0ECA" w:rsidR="0022006B" w:rsidRPr="0023248A" w:rsidRDefault="0022006B" w:rsidP="0022006B">
            <w:pPr>
              <w:jc w:val="right"/>
              <w:rPr>
                <w:rFonts w:eastAsia="Times New Roman"/>
                <w:color w:val="000000"/>
                <w:sz w:val="20"/>
                <w:szCs w:val="20"/>
              </w:rPr>
            </w:pPr>
            <w:r>
              <w:rPr>
                <w:color w:val="000000"/>
                <w:sz w:val="20"/>
                <w:szCs w:val="20"/>
              </w:rPr>
              <w:t>1,055,000</w:t>
            </w:r>
          </w:p>
        </w:tc>
        <w:tc>
          <w:tcPr>
            <w:tcW w:w="840" w:type="dxa"/>
            <w:tcBorders>
              <w:top w:val="nil"/>
              <w:left w:val="nil"/>
              <w:bottom w:val="nil"/>
              <w:right w:val="nil"/>
            </w:tcBorders>
            <w:shd w:val="clear" w:color="000000" w:fill="FFFFFF"/>
            <w:vAlign w:val="center"/>
            <w:hideMark/>
          </w:tcPr>
          <w:p w14:paraId="7EAA284D" w14:textId="3A631DF4" w:rsidR="0022006B" w:rsidRPr="001E1235" w:rsidRDefault="0022006B" w:rsidP="0022006B">
            <w:pPr>
              <w:jc w:val="right"/>
              <w:rPr>
                <w:rFonts w:eastAsia="Times New Roman"/>
                <w:color w:val="FF0000"/>
                <w:sz w:val="20"/>
                <w:szCs w:val="20"/>
              </w:rPr>
            </w:pPr>
            <w:r w:rsidRPr="0022006B">
              <w:rPr>
                <w:color w:val="FF0000"/>
                <w:sz w:val="20"/>
                <w:szCs w:val="20"/>
              </w:rPr>
              <w:t>0.9%</w:t>
            </w:r>
          </w:p>
        </w:tc>
        <w:tc>
          <w:tcPr>
            <w:tcW w:w="262" w:type="dxa"/>
            <w:tcBorders>
              <w:top w:val="nil"/>
              <w:left w:val="nil"/>
              <w:bottom w:val="nil"/>
              <w:right w:val="nil"/>
            </w:tcBorders>
            <w:shd w:val="clear" w:color="000000" w:fill="FFFFFF"/>
            <w:vAlign w:val="center"/>
            <w:hideMark/>
          </w:tcPr>
          <w:p w14:paraId="60D9164B" w14:textId="785FEEFC" w:rsidR="0022006B" w:rsidRPr="0023248A" w:rsidRDefault="0022006B" w:rsidP="0022006B">
            <w:pPr>
              <w:jc w:val="right"/>
              <w:rPr>
                <w:rFonts w:eastAsia="Times New Roman"/>
                <w:color w:val="000000"/>
                <w:sz w:val="20"/>
                <w:szCs w:val="20"/>
              </w:rPr>
            </w:pPr>
            <w:r>
              <w:rPr>
                <w:color w:val="000000"/>
                <w:sz w:val="20"/>
                <w:szCs w:val="20"/>
              </w:rPr>
              <w:t> </w:t>
            </w:r>
          </w:p>
        </w:tc>
        <w:tc>
          <w:tcPr>
            <w:tcW w:w="1229" w:type="dxa"/>
            <w:tcBorders>
              <w:top w:val="nil"/>
              <w:left w:val="nil"/>
              <w:bottom w:val="nil"/>
              <w:right w:val="nil"/>
            </w:tcBorders>
            <w:shd w:val="clear" w:color="000000" w:fill="FFFFFF"/>
            <w:vAlign w:val="center"/>
            <w:hideMark/>
          </w:tcPr>
          <w:p w14:paraId="0339330F" w14:textId="69B49930" w:rsidR="0022006B" w:rsidRPr="0023248A" w:rsidRDefault="0022006B" w:rsidP="0022006B">
            <w:pPr>
              <w:jc w:val="right"/>
              <w:rPr>
                <w:rFonts w:eastAsia="Times New Roman"/>
                <w:color w:val="000000"/>
                <w:sz w:val="20"/>
                <w:szCs w:val="20"/>
              </w:rPr>
            </w:pPr>
            <w:r>
              <w:rPr>
                <w:color w:val="000000"/>
                <w:sz w:val="20"/>
                <w:szCs w:val="20"/>
              </w:rPr>
              <w:t>7,145,000</w:t>
            </w:r>
          </w:p>
        </w:tc>
        <w:tc>
          <w:tcPr>
            <w:tcW w:w="840" w:type="dxa"/>
            <w:tcBorders>
              <w:top w:val="nil"/>
              <w:left w:val="nil"/>
              <w:bottom w:val="nil"/>
              <w:right w:val="nil"/>
            </w:tcBorders>
            <w:shd w:val="clear" w:color="000000" w:fill="FFFFFF"/>
            <w:vAlign w:val="center"/>
            <w:hideMark/>
          </w:tcPr>
          <w:p w14:paraId="44688AEF" w14:textId="68211A2D" w:rsidR="0022006B" w:rsidRPr="001E1235" w:rsidRDefault="0022006B" w:rsidP="0022006B">
            <w:pPr>
              <w:jc w:val="right"/>
              <w:rPr>
                <w:rFonts w:eastAsia="Times New Roman"/>
                <w:color w:val="FF0000"/>
                <w:sz w:val="20"/>
                <w:szCs w:val="20"/>
              </w:rPr>
            </w:pPr>
            <w:r w:rsidRPr="0022006B">
              <w:rPr>
                <w:color w:val="FF0000"/>
                <w:sz w:val="20"/>
                <w:szCs w:val="20"/>
              </w:rPr>
              <w:t>2.3%</w:t>
            </w:r>
          </w:p>
        </w:tc>
      </w:tr>
    </w:tbl>
    <w:p w14:paraId="0F233D25" w14:textId="77777777" w:rsidR="00CF42EE" w:rsidRDefault="00CF42EE" w:rsidP="00CF42EE">
      <w:pPr>
        <w:spacing w:before="161"/>
        <w:ind w:left="100"/>
        <w:rPr>
          <w:b/>
          <w:sz w:val="20"/>
          <w:szCs w:val="20"/>
        </w:rPr>
      </w:pPr>
    </w:p>
    <w:tbl>
      <w:tblPr>
        <w:tblW w:w="6258" w:type="dxa"/>
        <w:jc w:val="center"/>
        <w:tblLook w:val="04A0" w:firstRow="1" w:lastRow="0" w:firstColumn="1" w:lastColumn="0" w:noHBand="0" w:noVBand="1"/>
      </w:tblPr>
      <w:tblGrid>
        <w:gridCol w:w="1960"/>
        <w:gridCol w:w="1127"/>
        <w:gridCol w:w="840"/>
        <w:gridCol w:w="262"/>
        <w:gridCol w:w="1229"/>
        <w:gridCol w:w="840"/>
      </w:tblGrid>
      <w:tr w:rsidR="00CF42EE" w:rsidRPr="0023248A" w14:paraId="5C3D04DD" w14:textId="77777777" w:rsidTr="00F02E8D">
        <w:trPr>
          <w:trHeight w:val="330"/>
          <w:jc w:val="center"/>
        </w:trPr>
        <w:tc>
          <w:tcPr>
            <w:tcW w:w="1960" w:type="dxa"/>
            <w:tcBorders>
              <w:top w:val="nil"/>
              <w:left w:val="nil"/>
              <w:bottom w:val="nil"/>
              <w:right w:val="nil"/>
            </w:tcBorders>
            <w:shd w:val="clear" w:color="000000" w:fill="0F243E"/>
            <w:vAlign w:val="center"/>
            <w:hideMark/>
          </w:tcPr>
          <w:p w14:paraId="55ED5BA1" w14:textId="77777777" w:rsidR="00CF42EE" w:rsidRPr="0023248A" w:rsidRDefault="00CF42EE" w:rsidP="00F02E8D">
            <w:pPr>
              <w:rPr>
                <w:rFonts w:eastAsia="Times New Roman"/>
                <w:b/>
                <w:bCs/>
                <w:color w:val="FFFFFF"/>
                <w:sz w:val="18"/>
                <w:szCs w:val="18"/>
              </w:rPr>
            </w:pPr>
            <w:r w:rsidRPr="0023248A">
              <w:rPr>
                <w:rFonts w:eastAsia="Times New Roman"/>
                <w:b/>
                <w:bCs/>
                <w:color w:val="FFFFFF"/>
                <w:sz w:val="18"/>
                <w:szCs w:val="18"/>
              </w:rPr>
              <w:t>Not Seasonally Adjusted</w:t>
            </w:r>
          </w:p>
        </w:tc>
        <w:tc>
          <w:tcPr>
            <w:tcW w:w="1127" w:type="dxa"/>
            <w:tcBorders>
              <w:top w:val="nil"/>
              <w:left w:val="nil"/>
              <w:bottom w:val="nil"/>
              <w:right w:val="nil"/>
            </w:tcBorders>
            <w:shd w:val="clear" w:color="000000" w:fill="0F243E"/>
            <w:vAlign w:val="center"/>
            <w:hideMark/>
          </w:tcPr>
          <w:p w14:paraId="0DE10941" w14:textId="77777777" w:rsidR="00CF42EE" w:rsidRPr="0023248A" w:rsidRDefault="00CF42EE" w:rsidP="00F02E8D">
            <w:pPr>
              <w:jc w:val="center"/>
              <w:rPr>
                <w:rFonts w:eastAsia="Times New Roman"/>
                <w:b/>
                <w:bCs/>
                <w:color w:val="FFFFFF"/>
                <w:sz w:val="18"/>
                <w:szCs w:val="18"/>
              </w:rPr>
            </w:pPr>
            <w:r w:rsidRPr="0023248A">
              <w:rPr>
                <w:rFonts w:eastAsia="Times New Roman"/>
                <w:b/>
                <w:bCs/>
                <w:color w:val="FFFFFF"/>
                <w:sz w:val="18"/>
                <w:szCs w:val="18"/>
              </w:rPr>
              <w:t>California</w:t>
            </w:r>
          </w:p>
        </w:tc>
        <w:tc>
          <w:tcPr>
            <w:tcW w:w="840" w:type="dxa"/>
            <w:tcBorders>
              <w:top w:val="nil"/>
              <w:left w:val="nil"/>
              <w:bottom w:val="nil"/>
              <w:right w:val="nil"/>
            </w:tcBorders>
            <w:shd w:val="clear" w:color="000000" w:fill="0F243E"/>
            <w:vAlign w:val="center"/>
            <w:hideMark/>
          </w:tcPr>
          <w:p w14:paraId="0D2CCD52" w14:textId="77777777" w:rsidR="00CF42EE" w:rsidRPr="0023248A" w:rsidRDefault="00CF42EE" w:rsidP="00F02E8D">
            <w:pPr>
              <w:jc w:val="center"/>
              <w:rPr>
                <w:rFonts w:eastAsia="Times New Roman"/>
                <w:b/>
                <w:bCs/>
                <w:color w:val="FFFFFF"/>
                <w:sz w:val="18"/>
                <w:szCs w:val="18"/>
              </w:rPr>
            </w:pPr>
            <w:r w:rsidRPr="0023248A">
              <w:rPr>
                <w:rFonts w:eastAsia="Times New Roman"/>
                <w:b/>
                <w:bCs/>
                <w:color w:val="FFFFFF"/>
                <w:sz w:val="18"/>
                <w:szCs w:val="18"/>
              </w:rPr>
              <w:t> </w:t>
            </w:r>
          </w:p>
        </w:tc>
        <w:tc>
          <w:tcPr>
            <w:tcW w:w="262" w:type="dxa"/>
            <w:tcBorders>
              <w:top w:val="nil"/>
              <w:left w:val="nil"/>
              <w:bottom w:val="nil"/>
              <w:right w:val="nil"/>
            </w:tcBorders>
            <w:shd w:val="clear" w:color="000000" w:fill="0F243E"/>
            <w:vAlign w:val="center"/>
            <w:hideMark/>
          </w:tcPr>
          <w:p w14:paraId="0ACD79F1" w14:textId="77777777" w:rsidR="00CF42EE" w:rsidRPr="0023248A" w:rsidRDefault="00CF42EE" w:rsidP="00F02E8D">
            <w:pPr>
              <w:jc w:val="center"/>
              <w:rPr>
                <w:rFonts w:eastAsia="Times New Roman"/>
                <w:b/>
                <w:bCs/>
                <w:color w:val="FFFFFF"/>
                <w:sz w:val="18"/>
                <w:szCs w:val="18"/>
              </w:rPr>
            </w:pPr>
            <w:r w:rsidRPr="0023248A">
              <w:rPr>
                <w:rFonts w:eastAsia="Times New Roman"/>
                <w:b/>
                <w:bCs/>
                <w:color w:val="FFFFFF"/>
                <w:sz w:val="18"/>
                <w:szCs w:val="18"/>
              </w:rPr>
              <w:t> </w:t>
            </w:r>
          </w:p>
        </w:tc>
        <w:tc>
          <w:tcPr>
            <w:tcW w:w="1229" w:type="dxa"/>
            <w:tcBorders>
              <w:top w:val="nil"/>
              <w:left w:val="nil"/>
              <w:bottom w:val="nil"/>
              <w:right w:val="nil"/>
            </w:tcBorders>
            <w:shd w:val="clear" w:color="000000" w:fill="0F243E"/>
            <w:vAlign w:val="center"/>
            <w:hideMark/>
          </w:tcPr>
          <w:p w14:paraId="07CBBA0B" w14:textId="77777777" w:rsidR="00CF42EE" w:rsidRPr="0023248A" w:rsidRDefault="00CF42EE" w:rsidP="00F02E8D">
            <w:pPr>
              <w:jc w:val="center"/>
              <w:rPr>
                <w:rFonts w:eastAsia="Times New Roman"/>
                <w:b/>
                <w:bCs/>
                <w:color w:val="FFFFFF"/>
                <w:sz w:val="18"/>
                <w:szCs w:val="18"/>
              </w:rPr>
            </w:pPr>
            <w:r w:rsidRPr="0023248A">
              <w:rPr>
                <w:rFonts w:eastAsia="Times New Roman"/>
                <w:b/>
                <w:bCs/>
                <w:color w:val="FFFFFF"/>
                <w:sz w:val="18"/>
                <w:szCs w:val="18"/>
              </w:rPr>
              <w:t>US</w:t>
            </w:r>
          </w:p>
        </w:tc>
        <w:tc>
          <w:tcPr>
            <w:tcW w:w="840" w:type="dxa"/>
            <w:tcBorders>
              <w:top w:val="nil"/>
              <w:left w:val="nil"/>
              <w:bottom w:val="nil"/>
              <w:right w:val="nil"/>
            </w:tcBorders>
            <w:shd w:val="clear" w:color="000000" w:fill="0F243E"/>
            <w:vAlign w:val="center"/>
            <w:hideMark/>
          </w:tcPr>
          <w:p w14:paraId="2DACE0E9" w14:textId="77777777" w:rsidR="00CF42EE" w:rsidRPr="0023248A" w:rsidRDefault="00CF42EE" w:rsidP="00F02E8D">
            <w:pPr>
              <w:jc w:val="center"/>
              <w:rPr>
                <w:rFonts w:eastAsia="Times New Roman"/>
                <w:b/>
                <w:bCs/>
                <w:color w:val="FFFFFF"/>
                <w:sz w:val="18"/>
                <w:szCs w:val="18"/>
              </w:rPr>
            </w:pPr>
            <w:r w:rsidRPr="0023248A">
              <w:rPr>
                <w:rFonts w:eastAsia="Times New Roman"/>
                <w:b/>
                <w:bCs/>
                <w:color w:val="FFFFFF"/>
                <w:sz w:val="18"/>
                <w:szCs w:val="18"/>
              </w:rPr>
              <w:t> </w:t>
            </w:r>
          </w:p>
        </w:tc>
      </w:tr>
      <w:tr w:rsidR="0022006B" w:rsidRPr="0023248A" w14:paraId="275F6208" w14:textId="77777777" w:rsidTr="00F02E8D">
        <w:trPr>
          <w:trHeight w:val="360"/>
          <w:jc w:val="center"/>
        </w:trPr>
        <w:tc>
          <w:tcPr>
            <w:tcW w:w="1960" w:type="dxa"/>
            <w:tcBorders>
              <w:top w:val="nil"/>
              <w:left w:val="nil"/>
              <w:bottom w:val="nil"/>
              <w:right w:val="nil"/>
            </w:tcBorders>
            <w:shd w:val="clear" w:color="000000" w:fill="FFFFFF"/>
            <w:vAlign w:val="center"/>
            <w:hideMark/>
          </w:tcPr>
          <w:p w14:paraId="2BF0714C" w14:textId="77777777" w:rsidR="0022006B" w:rsidRPr="0023248A" w:rsidRDefault="0022006B" w:rsidP="0022006B">
            <w:pPr>
              <w:rPr>
                <w:rFonts w:eastAsia="Times New Roman"/>
                <w:color w:val="000000"/>
              </w:rPr>
            </w:pPr>
            <w:r w:rsidRPr="0023248A">
              <w:rPr>
                <w:color w:val="000000"/>
              </w:rPr>
              <w:t> </w:t>
            </w:r>
          </w:p>
        </w:tc>
        <w:tc>
          <w:tcPr>
            <w:tcW w:w="1127" w:type="dxa"/>
            <w:tcBorders>
              <w:top w:val="nil"/>
              <w:left w:val="nil"/>
              <w:bottom w:val="nil"/>
              <w:right w:val="nil"/>
            </w:tcBorders>
            <w:shd w:val="clear" w:color="000000" w:fill="FFFFFF"/>
            <w:vAlign w:val="center"/>
            <w:hideMark/>
          </w:tcPr>
          <w:p w14:paraId="42373060" w14:textId="11C274EA" w:rsidR="0022006B" w:rsidRPr="0023248A" w:rsidRDefault="0022006B" w:rsidP="0022006B">
            <w:pPr>
              <w:jc w:val="right"/>
              <w:rPr>
                <w:rFonts w:eastAsia="Times New Roman"/>
                <w:color w:val="000000"/>
                <w:sz w:val="12"/>
                <w:szCs w:val="12"/>
              </w:rPr>
            </w:pPr>
            <w:r>
              <w:rPr>
                <w:color w:val="000000"/>
                <w:sz w:val="12"/>
                <w:szCs w:val="12"/>
              </w:rPr>
              <w:t>Nov 2024</w:t>
            </w:r>
          </w:p>
        </w:tc>
        <w:tc>
          <w:tcPr>
            <w:tcW w:w="840" w:type="dxa"/>
            <w:tcBorders>
              <w:top w:val="nil"/>
              <w:left w:val="nil"/>
              <w:bottom w:val="nil"/>
              <w:right w:val="nil"/>
            </w:tcBorders>
            <w:shd w:val="clear" w:color="000000" w:fill="FFFFFF"/>
            <w:vAlign w:val="center"/>
            <w:hideMark/>
          </w:tcPr>
          <w:p w14:paraId="5A479C74" w14:textId="1EDA3A9E" w:rsidR="0022006B" w:rsidRPr="0023248A" w:rsidRDefault="0022006B" w:rsidP="0022006B">
            <w:pPr>
              <w:jc w:val="right"/>
              <w:rPr>
                <w:rFonts w:eastAsia="Times New Roman"/>
                <w:color w:val="000000"/>
                <w:sz w:val="12"/>
                <w:szCs w:val="12"/>
              </w:rPr>
            </w:pPr>
            <w:r>
              <w:rPr>
                <w:color w:val="000000"/>
                <w:sz w:val="12"/>
                <w:szCs w:val="12"/>
              </w:rPr>
              <w:t>Change from Nov 2023</w:t>
            </w:r>
          </w:p>
        </w:tc>
        <w:tc>
          <w:tcPr>
            <w:tcW w:w="262" w:type="dxa"/>
            <w:tcBorders>
              <w:top w:val="nil"/>
              <w:left w:val="nil"/>
              <w:bottom w:val="nil"/>
              <w:right w:val="nil"/>
            </w:tcBorders>
            <w:shd w:val="clear" w:color="000000" w:fill="FFFFFF"/>
            <w:vAlign w:val="center"/>
            <w:hideMark/>
          </w:tcPr>
          <w:p w14:paraId="0849F638" w14:textId="7ED6931B" w:rsidR="0022006B" w:rsidRPr="0023248A" w:rsidRDefault="0022006B" w:rsidP="0022006B">
            <w:pPr>
              <w:jc w:val="right"/>
              <w:rPr>
                <w:rFonts w:eastAsia="Times New Roman"/>
                <w:color w:val="000000"/>
                <w:sz w:val="12"/>
                <w:szCs w:val="12"/>
              </w:rPr>
            </w:pPr>
            <w:r>
              <w:rPr>
                <w:color w:val="000000"/>
                <w:sz w:val="12"/>
                <w:szCs w:val="12"/>
              </w:rPr>
              <w:t> </w:t>
            </w:r>
          </w:p>
        </w:tc>
        <w:tc>
          <w:tcPr>
            <w:tcW w:w="1229" w:type="dxa"/>
            <w:tcBorders>
              <w:top w:val="nil"/>
              <w:left w:val="nil"/>
              <w:bottom w:val="nil"/>
              <w:right w:val="nil"/>
            </w:tcBorders>
            <w:shd w:val="clear" w:color="000000" w:fill="FFFFFF"/>
            <w:vAlign w:val="center"/>
            <w:hideMark/>
          </w:tcPr>
          <w:p w14:paraId="18778149" w14:textId="253DD4E4" w:rsidR="0022006B" w:rsidRPr="0023248A" w:rsidRDefault="0022006B" w:rsidP="0022006B">
            <w:pPr>
              <w:jc w:val="right"/>
              <w:rPr>
                <w:rFonts w:eastAsia="Times New Roman"/>
                <w:color w:val="000000"/>
                <w:sz w:val="12"/>
                <w:szCs w:val="12"/>
              </w:rPr>
            </w:pPr>
            <w:r>
              <w:rPr>
                <w:color w:val="000000"/>
                <w:sz w:val="12"/>
                <w:szCs w:val="12"/>
              </w:rPr>
              <w:t>Nov 2024</w:t>
            </w:r>
          </w:p>
        </w:tc>
        <w:tc>
          <w:tcPr>
            <w:tcW w:w="840" w:type="dxa"/>
            <w:tcBorders>
              <w:top w:val="nil"/>
              <w:left w:val="nil"/>
              <w:bottom w:val="nil"/>
              <w:right w:val="nil"/>
            </w:tcBorders>
            <w:shd w:val="clear" w:color="000000" w:fill="FFFFFF"/>
            <w:vAlign w:val="center"/>
            <w:hideMark/>
          </w:tcPr>
          <w:p w14:paraId="3BA7972D" w14:textId="03194E5C" w:rsidR="0022006B" w:rsidRPr="0023248A" w:rsidRDefault="0022006B" w:rsidP="0022006B">
            <w:pPr>
              <w:jc w:val="right"/>
              <w:rPr>
                <w:rFonts w:eastAsia="Times New Roman"/>
                <w:color w:val="000000"/>
                <w:sz w:val="12"/>
                <w:szCs w:val="12"/>
              </w:rPr>
            </w:pPr>
            <w:r>
              <w:rPr>
                <w:color w:val="000000"/>
                <w:sz w:val="12"/>
                <w:szCs w:val="12"/>
              </w:rPr>
              <w:t>Change from Nov 2023</w:t>
            </w:r>
          </w:p>
        </w:tc>
      </w:tr>
      <w:tr w:rsidR="0022006B" w:rsidRPr="0023248A" w14:paraId="2F971128" w14:textId="77777777" w:rsidTr="00F02E8D">
        <w:trPr>
          <w:trHeight w:val="255"/>
          <w:jc w:val="center"/>
        </w:trPr>
        <w:tc>
          <w:tcPr>
            <w:tcW w:w="1960" w:type="dxa"/>
            <w:tcBorders>
              <w:top w:val="nil"/>
              <w:left w:val="nil"/>
              <w:bottom w:val="nil"/>
              <w:right w:val="nil"/>
            </w:tcBorders>
            <w:shd w:val="clear" w:color="000000" w:fill="FFFFFF"/>
            <w:vAlign w:val="center"/>
            <w:hideMark/>
          </w:tcPr>
          <w:p w14:paraId="114087BA" w14:textId="77777777" w:rsidR="0022006B" w:rsidRPr="0023248A" w:rsidRDefault="0022006B" w:rsidP="0022006B">
            <w:pPr>
              <w:rPr>
                <w:rFonts w:eastAsia="Times New Roman"/>
                <w:color w:val="000000"/>
                <w:sz w:val="20"/>
                <w:szCs w:val="20"/>
              </w:rPr>
            </w:pPr>
            <w:r w:rsidRPr="0023248A">
              <w:rPr>
                <w:color w:val="000000"/>
                <w:sz w:val="20"/>
                <w:szCs w:val="20"/>
              </w:rPr>
              <w:t>Unemployment Rate</w:t>
            </w:r>
          </w:p>
        </w:tc>
        <w:tc>
          <w:tcPr>
            <w:tcW w:w="1127" w:type="dxa"/>
            <w:tcBorders>
              <w:top w:val="nil"/>
              <w:left w:val="nil"/>
              <w:bottom w:val="nil"/>
              <w:right w:val="nil"/>
            </w:tcBorders>
            <w:shd w:val="clear" w:color="000000" w:fill="FFFFFF"/>
            <w:vAlign w:val="center"/>
            <w:hideMark/>
          </w:tcPr>
          <w:p w14:paraId="73A3B499" w14:textId="320F2EB4" w:rsidR="0022006B" w:rsidRPr="0023248A" w:rsidRDefault="0022006B" w:rsidP="0022006B">
            <w:pPr>
              <w:jc w:val="right"/>
              <w:rPr>
                <w:rFonts w:eastAsia="Times New Roman"/>
                <w:color w:val="000000"/>
                <w:sz w:val="20"/>
                <w:szCs w:val="20"/>
              </w:rPr>
            </w:pPr>
            <w:r>
              <w:rPr>
                <w:color w:val="000000"/>
                <w:sz w:val="20"/>
                <w:szCs w:val="20"/>
              </w:rPr>
              <w:t>5.3%</w:t>
            </w:r>
          </w:p>
        </w:tc>
        <w:tc>
          <w:tcPr>
            <w:tcW w:w="840" w:type="dxa"/>
            <w:tcBorders>
              <w:top w:val="nil"/>
              <w:left w:val="nil"/>
              <w:bottom w:val="nil"/>
              <w:right w:val="nil"/>
            </w:tcBorders>
            <w:shd w:val="clear" w:color="000000" w:fill="FFFFFF"/>
            <w:vAlign w:val="center"/>
            <w:hideMark/>
          </w:tcPr>
          <w:p w14:paraId="6A543D1A" w14:textId="35C3797D" w:rsidR="0022006B" w:rsidRPr="0022006B" w:rsidRDefault="0022006B" w:rsidP="0022006B">
            <w:pPr>
              <w:jc w:val="right"/>
              <w:rPr>
                <w:rFonts w:eastAsia="Times New Roman"/>
                <w:color w:val="FF0000"/>
                <w:sz w:val="20"/>
                <w:szCs w:val="20"/>
              </w:rPr>
            </w:pPr>
            <w:r w:rsidRPr="0022006B">
              <w:rPr>
                <w:color w:val="FF0000"/>
                <w:sz w:val="20"/>
                <w:szCs w:val="20"/>
              </w:rPr>
              <w:t>0.4</w:t>
            </w:r>
          </w:p>
        </w:tc>
        <w:tc>
          <w:tcPr>
            <w:tcW w:w="262" w:type="dxa"/>
            <w:tcBorders>
              <w:top w:val="nil"/>
              <w:left w:val="nil"/>
              <w:bottom w:val="nil"/>
              <w:right w:val="nil"/>
            </w:tcBorders>
            <w:shd w:val="clear" w:color="000000" w:fill="FFFFFF"/>
            <w:vAlign w:val="center"/>
            <w:hideMark/>
          </w:tcPr>
          <w:p w14:paraId="3CB90176" w14:textId="70466FE8" w:rsidR="0022006B" w:rsidRPr="0023248A" w:rsidRDefault="0022006B" w:rsidP="0022006B">
            <w:pPr>
              <w:jc w:val="right"/>
              <w:rPr>
                <w:rFonts w:eastAsia="Times New Roman"/>
                <w:color w:val="000000"/>
                <w:sz w:val="20"/>
                <w:szCs w:val="20"/>
              </w:rPr>
            </w:pPr>
            <w:r>
              <w:rPr>
                <w:color w:val="000000"/>
                <w:sz w:val="20"/>
                <w:szCs w:val="20"/>
              </w:rPr>
              <w:t> </w:t>
            </w:r>
          </w:p>
        </w:tc>
        <w:tc>
          <w:tcPr>
            <w:tcW w:w="1229" w:type="dxa"/>
            <w:tcBorders>
              <w:top w:val="nil"/>
              <w:left w:val="nil"/>
              <w:bottom w:val="nil"/>
              <w:right w:val="nil"/>
            </w:tcBorders>
            <w:shd w:val="clear" w:color="000000" w:fill="FFFFFF"/>
            <w:vAlign w:val="center"/>
            <w:hideMark/>
          </w:tcPr>
          <w:p w14:paraId="2079DEBD" w14:textId="092854F0" w:rsidR="0022006B" w:rsidRPr="004C303B" w:rsidRDefault="0022006B" w:rsidP="0022006B">
            <w:pPr>
              <w:jc w:val="right"/>
              <w:rPr>
                <w:color w:val="000000"/>
                <w:sz w:val="20"/>
                <w:szCs w:val="20"/>
              </w:rPr>
            </w:pPr>
            <w:r>
              <w:rPr>
                <w:color w:val="000000"/>
                <w:sz w:val="20"/>
                <w:szCs w:val="20"/>
              </w:rPr>
              <w:t>4.0%</w:t>
            </w:r>
          </w:p>
        </w:tc>
        <w:tc>
          <w:tcPr>
            <w:tcW w:w="840" w:type="dxa"/>
            <w:tcBorders>
              <w:top w:val="nil"/>
              <w:left w:val="nil"/>
              <w:bottom w:val="nil"/>
              <w:right w:val="nil"/>
            </w:tcBorders>
            <w:shd w:val="clear" w:color="000000" w:fill="FFFFFF"/>
            <w:vAlign w:val="center"/>
            <w:hideMark/>
          </w:tcPr>
          <w:p w14:paraId="7E62CE73" w14:textId="58229CE7" w:rsidR="0022006B" w:rsidRPr="0022006B" w:rsidRDefault="0022006B" w:rsidP="0022006B">
            <w:pPr>
              <w:jc w:val="right"/>
              <w:rPr>
                <w:rFonts w:eastAsia="Times New Roman"/>
                <w:color w:val="FF0000"/>
                <w:sz w:val="20"/>
                <w:szCs w:val="20"/>
              </w:rPr>
            </w:pPr>
            <w:r w:rsidRPr="0022006B">
              <w:rPr>
                <w:color w:val="FF0000"/>
                <w:sz w:val="20"/>
                <w:szCs w:val="20"/>
              </w:rPr>
              <w:t>0.5</w:t>
            </w:r>
          </w:p>
        </w:tc>
      </w:tr>
      <w:tr w:rsidR="0022006B" w:rsidRPr="0023248A" w14:paraId="56B4ADD7" w14:textId="77777777" w:rsidTr="00F02E8D">
        <w:trPr>
          <w:trHeight w:val="255"/>
          <w:jc w:val="center"/>
        </w:trPr>
        <w:tc>
          <w:tcPr>
            <w:tcW w:w="1960" w:type="dxa"/>
            <w:tcBorders>
              <w:top w:val="nil"/>
              <w:left w:val="nil"/>
              <w:bottom w:val="nil"/>
              <w:right w:val="nil"/>
            </w:tcBorders>
            <w:shd w:val="clear" w:color="000000" w:fill="FFFFFF"/>
            <w:vAlign w:val="center"/>
            <w:hideMark/>
          </w:tcPr>
          <w:p w14:paraId="5179FD47" w14:textId="77777777" w:rsidR="0022006B" w:rsidRPr="0023248A" w:rsidRDefault="0022006B" w:rsidP="0022006B">
            <w:pPr>
              <w:rPr>
                <w:rFonts w:eastAsia="Times New Roman"/>
                <w:color w:val="000000"/>
                <w:sz w:val="20"/>
                <w:szCs w:val="20"/>
              </w:rPr>
            </w:pPr>
            <w:r w:rsidRPr="0023248A">
              <w:rPr>
                <w:color w:val="000000"/>
                <w:sz w:val="20"/>
                <w:szCs w:val="20"/>
              </w:rPr>
              <w:t>Labor Force</w:t>
            </w:r>
          </w:p>
        </w:tc>
        <w:tc>
          <w:tcPr>
            <w:tcW w:w="1127" w:type="dxa"/>
            <w:tcBorders>
              <w:top w:val="nil"/>
              <w:left w:val="nil"/>
              <w:bottom w:val="nil"/>
              <w:right w:val="nil"/>
            </w:tcBorders>
            <w:shd w:val="clear" w:color="000000" w:fill="FFFFFF"/>
            <w:vAlign w:val="center"/>
            <w:hideMark/>
          </w:tcPr>
          <w:p w14:paraId="4FF66D26" w14:textId="2CBDCBE4" w:rsidR="0022006B" w:rsidRPr="0023248A" w:rsidRDefault="0022006B" w:rsidP="0022006B">
            <w:pPr>
              <w:jc w:val="right"/>
              <w:rPr>
                <w:rFonts w:eastAsia="Times New Roman"/>
                <w:color w:val="000000"/>
                <w:sz w:val="20"/>
                <w:szCs w:val="20"/>
              </w:rPr>
            </w:pPr>
            <w:r>
              <w:rPr>
                <w:color w:val="000000"/>
                <w:sz w:val="20"/>
                <w:szCs w:val="20"/>
              </w:rPr>
              <w:t>19,337,200</w:t>
            </w:r>
          </w:p>
        </w:tc>
        <w:tc>
          <w:tcPr>
            <w:tcW w:w="840" w:type="dxa"/>
            <w:tcBorders>
              <w:top w:val="nil"/>
              <w:left w:val="nil"/>
              <w:bottom w:val="nil"/>
              <w:right w:val="nil"/>
            </w:tcBorders>
            <w:shd w:val="clear" w:color="000000" w:fill="FFFFFF"/>
            <w:vAlign w:val="center"/>
            <w:hideMark/>
          </w:tcPr>
          <w:p w14:paraId="3BC63B46" w14:textId="26C27651" w:rsidR="0022006B" w:rsidRPr="0022006B" w:rsidRDefault="0022006B" w:rsidP="0022006B">
            <w:pPr>
              <w:jc w:val="right"/>
              <w:rPr>
                <w:rFonts w:eastAsia="Times New Roman"/>
                <w:color w:val="FF0000"/>
                <w:sz w:val="20"/>
                <w:szCs w:val="20"/>
              </w:rPr>
            </w:pPr>
            <w:r w:rsidRPr="0022006B">
              <w:rPr>
                <w:color w:val="FF0000"/>
                <w:sz w:val="20"/>
                <w:szCs w:val="20"/>
              </w:rPr>
              <w:t>-0.3%</w:t>
            </w:r>
          </w:p>
        </w:tc>
        <w:tc>
          <w:tcPr>
            <w:tcW w:w="262" w:type="dxa"/>
            <w:tcBorders>
              <w:top w:val="nil"/>
              <w:left w:val="nil"/>
              <w:bottom w:val="nil"/>
              <w:right w:val="nil"/>
            </w:tcBorders>
            <w:shd w:val="clear" w:color="000000" w:fill="FFFFFF"/>
            <w:vAlign w:val="center"/>
            <w:hideMark/>
          </w:tcPr>
          <w:p w14:paraId="3EDCB88F" w14:textId="31605E91" w:rsidR="0022006B" w:rsidRPr="0023248A" w:rsidRDefault="0022006B" w:rsidP="0022006B">
            <w:pPr>
              <w:jc w:val="right"/>
              <w:rPr>
                <w:rFonts w:eastAsia="Times New Roman"/>
                <w:color w:val="000000"/>
                <w:sz w:val="20"/>
                <w:szCs w:val="20"/>
              </w:rPr>
            </w:pPr>
            <w:r>
              <w:rPr>
                <w:color w:val="000000"/>
                <w:sz w:val="20"/>
                <w:szCs w:val="20"/>
              </w:rPr>
              <w:t> </w:t>
            </w:r>
          </w:p>
        </w:tc>
        <w:tc>
          <w:tcPr>
            <w:tcW w:w="1229" w:type="dxa"/>
            <w:tcBorders>
              <w:top w:val="nil"/>
              <w:left w:val="nil"/>
              <w:bottom w:val="nil"/>
              <w:right w:val="nil"/>
            </w:tcBorders>
            <w:shd w:val="clear" w:color="000000" w:fill="FFFFFF"/>
            <w:vAlign w:val="center"/>
            <w:hideMark/>
          </w:tcPr>
          <w:p w14:paraId="34A10E68" w14:textId="2467AF40" w:rsidR="0022006B" w:rsidRPr="0023248A" w:rsidRDefault="0022006B" w:rsidP="0022006B">
            <w:pPr>
              <w:jc w:val="right"/>
              <w:rPr>
                <w:rFonts w:eastAsia="Times New Roman"/>
                <w:color w:val="000000"/>
                <w:sz w:val="20"/>
                <w:szCs w:val="20"/>
              </w:rPr>
            </w:pPr>
            <w:r>
              <w:rPr>
                <w:color w:val="000000"/>
                <w:sz w:val="20"/>
                <w:szCs w:val="20"/>
              </w:rPr>
              <w:t>168,164,000</w:t>
            </w:r>
          </w:p>
        </w:tc>
        <w:tc>
          <w:tcPr>
            <w:tcW w:w="840" w:type="dxa"/>
            <w:tcBorders>
              <w:top w:val="nil"/>
              <w:left w:val="nil"/>
              <w:bottom w:val="nil"/>
              <w:right w:val="nil"/>
            </w:tcBorders>
            <w:shd w:val="clear" w:color="000000" w:fill="FFFFFF"/>
            <w:vAlign w:val="center"/>
            <w:hideMark/>
          </w:tcPr>
          <w:p w14:paraId="21B2780F" w14:textId="73D33A7F" w:rsidR="0022006B" w:rsidRPr="0023248A" w:rsidRDefault="0022006B" w:rsidP="0022006B">
            <w:pPr>
              <w:jc w:val="right"/>
              <w:rPr>
                <w:rFonts w:eastAsia="Times New Roman"/>
                <w:color w:val="FF0000"/>
                <w:sz w:val="20"/>
                <w:szCs w:val="20"/>
              </w:rPr>
            </w:pPr>
            <w:r>
              <w:rPr>
                <w:color w:val="000000"/>
                <w:sz w:val="20"/>
                <w:szCs w:val="20"/>
              </w:rPr>
              <w:t>0.1%</w:t>
            </w:r>
          </w:p>
        </w:tc>
      </w:tr>
      <w:tr w:rsidR="0022006B" w:rsidRPr="0023248A" w14:paraId="42485362" w14:textId="77777777" w:rsidTr="00F02E8D">
        <w:trPr>
          <w:trHeight w:val="255"/>
          <w:jc w:val="center"/>
        </w:trPr>
        <w:tc>
          <w:tcPr>
            <w:tcW w:w="1960" w:type="dxa"/>
            <w:tcBorders>
              <w:top w:val="nil"/>
              <w:left w:val="nil"/>
              <w:bottom w:val="nil"/>
              <w:right w:val="nil"/>
            </w:tcBorders>
            <w:shd w:val="clear" w:color="000000" w:fill="FFFFFF"/>
            <w:noWrap/>
            <w:vAlign w:val="bottom"/>
            <w:hideMark/>
          </w:tcPr>
          <w:p w14:paraId="6C7DFB80" w14:textId="77777777" w:rsidR="0022006B" w:rsidRPr="0023248A" w:rsidRDefault="0022006B" w:rsidP="0022006B">
            <w:pPr>
              <w:rPr>
                <w:rFonts w:eastAsia="Times New Roman"/>
                <w:color w:val="000000"/>
                <w:sz w:val="20"/>
                <w:szCs w:val="20"/>
              </w:rPr>
            </w:pPr>
            <w:r w:rsidRPr="0023248A">
              <w:rPr>
                <w:color w:val="000000"/>
                <w:sz w:val="20"/>
                <w:szCs w:val="20"/>
              </w:rPr>
              <w:t>Participation Rate</w:t>
            </w:r>
          </w:p>
        </w:tc>
        <w:tc>
          <w:tcPr>
            <w:tcW w:w="1127" w:type="dxa"/>
            <w:tcBorders>
              <w:top w:val="nil"/>
              <w:left w:val="nil"/>
              <w:bottom w:val="nil"/>
              <w:right w:val="nil"/>
            </w:tcBorders>
            <w:shd w:val="clear" w:color="000000" w:fill="FFFFFF"/>
            <w:vAlign w:val="center"/>
            <w:hideMark/>
          </w:tcPr>
          <w:p w14:paraId="38265B01" w14:textId="60C23FE7" w:rsidR="0022006B" w:rsidRPr="0023248A" w:rsidRDefault="0022006B" w:rsidP="0022006B">
            <w:pPr>
              <w:jc w:val="right"/>
              <w:rPr>
                <w:rFonts w:eastAsia="Times New Roman"/>
                <w:color w:val="000000"/>
                <w:sz w:val="20"/>
                <w:szCs w:val="20"/>
              </w:rPr>
            </w:pPr>
            <w:r>
              <w:rPr>
                <w:color w:val="000000"/>
                <w:sz w:val="20"/>
                <w:szCs w:val="20"/>
              </w:rPr>
              <w:t>61.9%</w:t>
            </w:r>
          </w:p>
        </w:tc>
        <w:tc>
          <w:tcPr>
            <w:tcW w:w="840" w:type="dxa"/>
            <w:tcBorders>
              <w:top w:val="nil"/>
              <w:left w:val="nil"/>
              <w:bottom w:val="nil"/>
              <w:right w:val="nil"/>
            </w:tcBorders>
            <w:shd w:val="clear" w:color="000000" w:fill="FFFFFF"/>
            <w:vAlign w:val="center"/>
            <w:hideMark/>
          </w:tcPr>
          <w:p w14:paraId="327E18CB" w14:textId="6915B647" w:rsidR="0022006B" w:rsidRPr="0022006B" w:rsidRDefault="0022006B" w:rsidP="0022006B">
            <w:pPr>
              <w:jc w:val="right"/>
              <w:rPr>
                <w:rFonts w:eastAsia="Times New Roman"/>
                <w:color w:val="FF0000"/>
                <w:sz w:val="20"/>
                <w:szCs w:val="20"/>
              </w:rPr>
            </w:pPr>
            <w:r w:rsidRPr="0022006B">
              <w:rPr>
                <w:color w:val="FF0000"/>
                <w:sz w:val="20"/>
                <w:szCs w:val="20"/>
              </w:rPr>
              <w:t>-0.4</w:t>
            </w:r>
          </w:p>
        </w:tc>
        <w:tc>
          <w:tcPr>
            <w:tcW w:w="262" w:type="dxa"/>
            <w:tcBorders>
              <w:top w:val="nil"/>
              <w:left w:val="nil"/>
              <w:bottom w:val="nil"/>
              <w:right w:val="nil"/>
            </w:tcBorders>
            <w:shd w:val="clear" w:color="000000" w:fill="FFFFFF"/>
            <w:noWrap/>
            <w:vAlign w:val="bottom"/>
            <w:hideMark/>
          </w:tcPr>
          <w:p w14:paraId="2A89FF03" w14:textId="43324130" w:rsidR="0022006B" w:rsidRPr="0023248A" w:rsidRDefault="0022006B" w:rsidP="0022006B">
            <w:pPr>
              <w:rPr>
                <w:rFonts w:eastAsia="Times New Roman"/>
                <w:color w:val="000000"/>
                <w:sz w:val="20"/>
                <w:szCs w:val="20"/>
              </w:rPr>
            </w:pPr>
            <w:r>
              <w:rPr>
                <w:color w:val="000000"/>
                <w:sz w:val="20"/>
                <w:szCs w:val="20"/>
              </w:rPr>
              <w:t> </w:t>
            </w:r>
          </w:p>
        </w:tc>
        <w:tc>
          <w:tcPr>
            <w:tcW w:w="1229" w:type="dxa"/>
            <w:tcBorders>
              <w:top w:val="nil"/>
              <w:left w:val="nil"/>
              <w:bottom w:val="nil"/>
              <w:right w:val="nil"/>
            </w:tcBorders>
            <w:shd w:val="clear" w:color="000000" w:fill="FFFFFF"/>
            <w:vAlign w:val="center"/>
            <w:hideMark/>
          </w:tcPr>
          <w:p w14:paraId="0B08D2B6" w14:textId="44DE3B2A" w:rsidR="0022006B" w:rsidRPr="0023248A" w:rsidRDefault="0022006B" w:rsidP="0022006B">
            <w:pPr>
              <w:jc w:val="right"/>
              <w:rPr>
                <w:rFonts w:eastAsia="Times New Roman"/>
                <w:color w:val="000000"/>
                <w:sz w:val="20"/>
                <w:szCs w:val="20"/>
              </w:rPr>
            </w:pPr>
            <w:r>
              <w:rPr>
                <w:color w:val="000000"/>
                <w:sz w:val="20"/>
                <w:szCs w:val="20"/>
              </w:rPr>
              <w:t>62.4%</w:t>
            </w:r>
          </w:p>
        </w:tc>
        <w:tc>
          <w:tcPr>
            <w:tcW w:w="840" w:type="dxa"/>
            <w:tcBorders>
              <w:top w:val="nil"/>
              <w:left w:val="nil"/>
              <w:bottom w:val="nil"/>
              <w:right w:val="nil"/>
            </w:tcBorders>
            <w:shd w:val="clear" w:color="000000" w:fill="FFFFFF"/>
            <w:vAlign w:val="center"/>
            <w:hideMark/>
          </w:tcPr>
          <w:p w14:paraId="6C884191" w14:textId="7126D968" w:rsidR="0022006B" w:rsidRPr="0023248A" w:rsidRDefault="0022006B" w:rsidP="0022006B">
            <w:pPr>
              <w:jc w:val="right"/>
              <w:rPr>
                <w:rFonts w:eastAsia="Times New Roman"/>
                <w:color w:val="FF0000"/>
                <w:sz w:val="20"/>
                <w:szCs w:val="20"/>
              </w:rPr>
            </w:pPr>
            <w:r w:rsidRPr="0022006B">
              <w:rPr>
                <w:color w:val="FF0000"/>
                <w:sz w:val="20"/>
                <w:szCs w:val="20"/>
              </w:rPr>
              <w:t>-0.3</w:t>
            </w:r>
          </w:p>
        </w:tc>
      </w:tr>
      <w:tr w:rsidR="0022006B" w:rsidRPr="0023248A" w14:paraId="0727B95F" w14:textId="77777777" w:rsidTr="00F02E8D">
        <w:trPr>
          <w:trHeight w:val="255"/>
          <w:jc w:val="center"/>
        </w:trPr>
        <w:tc>
          <w:tcPr>
            <w:tcW w:w="1960" w:type="dxa"/>
            <w:tcBorders>
              <w:top w:val="nil"/>
              <w:left w:val="nil"/>
              <w:bottom w:val="nil"/>
              <w:right w:val="nil"/>
            </w:tcBorders>
            <w:shd w:val="clear" w:color="000000" w:fill="FFFFFF"/>
            <w:vAlign w:val="center"/>
            <w:hideMark/>
          </w:tcPr>
          <w:p w14:paraId="6BB3AC3E" w14:textId="77777777" w:rsidR="0022006B" w:rsidRPr="0023248A" w:rsidRDefault="0022006B" w:rsidP="0022006B">
            <w:pPr>
              <w:rPr>
                <w:rFonts w:eastAsia="Times New Roman"/>
                <w:color w:val="000000"/>
                <w:sz w:val="20"/>
                <w:szCs w:val="20"/>
              </w:rPr>
            </w:pPr>
            <w:r w:rsidRPr="0023248A">
              <w:rPr>
                <w:color w:val="000000"/>
                <w:sz w:val="20"/>
                <w:szCs w:val="20"/>
              </w:rPr>
              <w:t>Employment</w:t>
            </w:r>
          </w:p>
        </w:tc>
        <w:tc>
          <w:tcPr>
            <w:tcW w:w="1127" w:type="dxa"/>
            <w:tcBorders>
              <w:top w:val="nil"/>
              <w:left w:val="nil"/>
              <w:bottom w:val="nil"/>
              <w:right w:val="nil"/>
            </w:tcBorders>
            <w:shd w:val="clear" w:color="000000" w:fill="FFFFFF"/>
            <w:vAlign w:val="center"/>
            <w:hideMark/>
          </w:tcPr>
          <w:p w14:paraId="66E3B7F6" w14:textId="1E9360DE" w:rsidR="0022006B" w:rsidRPr="0023248A" w:rsidRDefault="0022006B" w:rsidP="0022006B">
            <w:pPr>
              <w:jc w:val="right"/>
              <w:rPr>
                <w:rFonts w:eastAsia="Times New Roman"/>
                <w:color w:val="000000"/>
                <w:sz w:val="20"/>
                <w:szCs w:val="20"/>
              </w:rPr>
            </w:pPr>
            <w:r>
              <w:rPr>
                <w:color w:val="000000"/>
                <w:sz w:val="20"/>
                <w:szCs w:val="20"/>
              </w:rPr>
              <w:t>18,313,500</w:t>
            </w:r>
          </w:p>
        </w:tc>
        <w:tc>
          <w:tcPr>
            <w:tcW w:w="840" w:type="dxa"/>
            <w:tcBorders>
              <w:top w:val="nil"/>
              <w:left w:val="nil"/>
              <w:bottom w:val="nil"/>
              <w:right w:val="nil"/>
            </w:tcBorders>
            <w:shd w:val="clear" w:color="000000" w:fill="FFFFFF"/>
            <w:vAlign w:val="center"/>
            <w:hideMark/>
          </w:tcPr>
          <w:p w14:paraId="491558DE" w14:textId="3DDD4D47" w:rsidR="0022006B" w:rsidRPr="0022006B" w:rsidRDefault="0022006B" w:rsidP="0022006B">
            <w:pPr>
              <w:jc w:val="right"/>
              <w:rPr>
                <w:rFonts w:eastAsia="Times New Roman"/>
                <w:color w:val="FF0000"/>
                <w:sz w:val="20"/>
                <w:szCs w:val="20"/>
              </w:rPr>
            </w:pPr>
            <w:r w:rsidRPr="0022006B">
              <w:rPr>
                <w:color w:val="FF0000"/>
                <w:sz w:val="20"/>
                <w:szCs w:val="20"/>
              </w:rPr>
              <w:t>-0.7%</w:t>
            </w:r>
          </w:p>
        </w:tc>
        <w:tc>
          <w:tcPr>
            <w:tcW w:w="262" w:type="dxa"/>
            <w:tcBorders>
              <w:top w:val="nil"/>
              <w:left w:val="nil"/>
              <w:bottom w:val="nil"/>
              <w:right w:val="nil"/>
            </w:tcBorders>
            <w:shd w:val="clear" w:color="000000" w:fill="FFFFFF"/>
            <w:vAlign w:val="center"/>
            <w:hideMark/>
          </w:tcPr>
          <w:p w14:paraId="52FF2A31" w14:textId="58B8E0CC" w:rsidR="0022006B" w:rsidRPr="0023248A" w:rsidRDefault="0022006B" w:rsidP="0022006B">
            <w:pPr>
              <w:jc w:val="right"/>
              <w:rPr>
                <w:rFonts w:eastAsia="Times New Roman"/>
                <w:color w:val="000000"/>
                <w:sz w:val="20"/>
                <w:szCs w:val="20"/>
              </w:rPr>
            </w:pPr>
            <w:r>
              <w:rPr>
                <w:color w:val="000000"/>
                <w:sz w:val="20"/>
                <w:szCs w:val="20"/>
              </w:rPr>
              <w:t> </w:t>
            </w:r>
          </w:p>
        </w:tc>
        <w:tc>
          <w:tcPr>
            <w:tcW w:w="1229" w:type="dxa"/>
            <w:tcBorders>
              <w:top w:val="nil"/>
              <w:left w:val="nil"/>
              <w:bottom w:val="nil"/>
              <w:right w:val="nil"/>
            </w:tcBorders>
            <w:shd w:val="clear" w:color="000000" w:fill="FFFFFF"/>
            <w:vAlign w:val="center"/>
            <w:hideMark/>
          </w:tcPr>
          <w:p w14:paraId="22028912" w14:textId="32107E92" w:rsidR="0022006B" w:rsidRPr="0023248A" w:rsidRDefault="0022006B" w:rsidP="0022006B">
            <w:pPr>
              <w:jc w:val="right"/>
              <w:rPr>
                <w:rFonts w:eastAsia="Times New Roman"/>
                <w:color w:val="000000"/>
                <w:sz w:val="20"/>
                <w:szCs w:val="20"/>
              </w:rPr>
            </w:pPr>
            <w:r>
              <w:rPr>
                <w:color w:val="000000"/>
                <w:sz w:val="20"/>
                <w:szCs w:val="20"/>
              </w:rPr>
              <w:t>161,456,000</w:t>
            </w:r>
          </w:p>
        </w:tc>
        <w:tc>
          <w:tcPr>
            <w:tcW w:w="840" w:type="dxa"/>
            <w:tcBorders>
              <w:top w:val="nil"/>
              <w:left w:val="nil"/>
              <w:bottom w:val="nil"/>
              <w:right w:val="nil"/>
            </w:tcBorders>
            <w:shd w:val="clear" w:color="000000" w:fill="FFFFFF"/>
            <w:vAlign w:val="center"/>
            <w:hideMark/>
          </w:tcPr>
          <w:p w14:paraId="56514743" w14:textId="1C5B49AC" w:rsidR="0022006B" w:rsidRPr="00FF602D" w:rsidRDefault="0022006B" w:rsidP="0022006B">
            <w:pPr>
              <w:jc w:val="right"/>
              <w:rPr>
                <w:rFonts w:eastAsia="Times New Roman"/>
                <w:color w:val="FF0000"/>
                <w:sz w:val="20"/>
                <w:szCs w:val="20"/>
              </w:rPr>
            </w:pPr>
            <w:r w:rsidRPr="0022006B">
              <w:rPr>
                <w:color w:val="FF0000"/>
                <w:sz w:val="20"/>
                <w:szCs w:val="20"/>
              </w:rPr>
              <w:t>-0.4%</w:t>
            </w:r>
          </w:p>
        </w:tc>
      </w:tr>
      <w:tr w:rsidR="0022006B" w:rsidRPr="0023248A" w14:paraId="04949BBA" w14:textId="77777777" w:rsidTr="00F02E8D">
        <w:trPr>
          <w:trHeight w:val="300"/>
          <w:jc w:val="center"/>
        </w:trPr>
        <w:tc>
          <w:tcPr>
            <w:tcW w:w="1960" w:type="dxa"/>
            <w:tcBorders>
              <w:top w:val="nil"/>
              <w:left w:val="nil"/>
              <w:bottom w:val="nil"/>
              <w:right w:val="nil"/>
            </w:tcBorders>
            <w:shd w:val="clear" w:color="000000" w:fill="FFFFFF"/>
            <w:vAlign w:val="center"/>
            <w:hideMark/>
          </w:tcPr>
          <w:p w14:paraId="19FF37CC" w14:textId="77777777" w:rsidR="0022006B" w:rsidRPr="0023248A" w:rsidRDefault="0022006B" w:rsidP="0022006B">
            <w:pPr>
              <w:rPr>
                <w:rFonts w:eastAsia="Times New Roman"/>
                <w:color w:val="000000"/>
                <w:sz w:val="20"/>
                <w:szCs w:val="20"/>
              </w:rPr>
            </w:pPr>
            <w:r w:rsidRPr="0023248A">
              <w:rPr>
                <w:color w:val="000000"/>
                <w:sz w:val="20"/>
                <w:szCs w:val="20"/>
              </w:rPr>
              <w:t>Unemployment</w:t>
            </w:r>
          </w:p>
        </w:tc>
        <w:tc>
          <w:tcPr>
            <w:tcW w:w="1127" w:type="dxa"/>
            <w:tcBorders>
              <w:top w:val="nil"/>
              <w:left w:val="nil"/>
              <w:bottom w:val="nil"/>
              <w:right w:val="nil"/>
            </w:tcBorders>
            <w:shd w:val="clear" w:color="000000" w:fill="FFFFFF"/>
            <w:vAlign w:val="center"/>
            <w:hideMark/>
          </w:tcPr>
          <w:p w14:paraId="6F0C4F1E" w14:textId="4EDDE797" w:rsidR="0022006B" w:rsidRPr="0023248A" w:rsidRDefault="0022006B" w:rsidP="0022006B">
            <w:pPr>
              <w:jc w:val="right"/>
              <w:rPr>
                <w:rFonts w:eastAsia="Times New Roman"/>
                <w:color w:val="000000"/>
                <w:sz w:val="20"/>
                <w:szCs w:val="20"/>
              </w:rPr>
            </w:pPr>
            <w:r>
              <w:rPr>
                <w:color w:val="000000"/>
                <w:sz w:val="20"/>
                <w:szCs w:val="20"/>
              </w:rPr>
              <w:t>1,023,700</w:t>
            </w:r>
          </w:p>
        </w:tc>
        <w:tc>
          <w:tcPr>
            <w:tcW w:w="840" w:type="dxa"/>
            <w:tcBorders>
              <w:top w:val="nil"/>
              <w:left w:val="nil"/>
              <w:bottom w:val="nil"/>
              <w:right w:val="nil"/>
            </w:tcBorders>
            <w:shd w:val="clear" w:color="000000" w:fill="FFFFFF"/>
            <w:vAlign w:val="center"/>
            <w:hideMark/>
          </w:tcPr>
          <w:p w14:paraId="46443313" w14:textId="52E3BB3C" w:rsidR="0022006B" w:rsidRPr="0022006B" w:rsidRDefault="0022006B" w:rsidP="0022006B">
            <w:pPr>
              <w:jc w:val="right"/>
              <w:rPr>
                <w:rFonts w:eastAsia="Times New Roman"/>
                <w:color w:val="FF0000"/>
                <w:sz w:val="20"/>
                <w:szCs w:val="20"/>
              </w:rPr>
            </w:pPr>
            <w:r w:rsidRPr="0022006B">
              <w:rPr>
                <w:color w:val="FF0000"/>
                <w:sz w:val="20"/>
                <w:szCs w:val="20"/>
              </w:rPr>
              <w:t>6.8%</w:t>
            </w:r>
          </w:p>
        </w:tc>
        <w:tc>
          <w:tcPr>
            <w:tcW w:w="262" w:type="dxa"/>
            <w:tcBorders>
              <w:top w:val="nil"/>
              <w:left w:val="nil"/>
              <w:bottom w:val="nil"/>
              <w:right w:val="nil"/>
            </w:tcBorders>
            <w:shd w:val="clear" w:color="000000" w:fill="FFFFFF"/>
            <w:vAlign w:val="center"/>
            <w:hideMark/>
          </w:tcPr>
          <w:p w14:paraId="41683F70" w14:textId="6A1D756C" w:rsidR="0022006B" w:rsidRPr="0023248A" w:rsidRDefault="0022006B" w:rsidP="0022006B">
            <w:pPr>
              <w:jc w:val="right"/>
              <w:rPr>
                <w:rFonts w:eastAsia="Times New Roman"/>
                <w:color w:val="000000"/>
                <w:sz w:val="20"/>
                <w:szCs w:val="20"/>
              </w:rPr>
            </w:pPr>
            <w:r>
              <w:rPr>
                <w:color w:val="000000"/>
                <w:sz w:val="20"/>
                <w:szCs w:val="20"/>
              </w:rPr>
              <w:t> </w:t>
            </w:r>
          </w:p>
        </w:tc>
        <w:tc>
          <w:tcPr>
            <w:tcW w:w="1229" w:type="dxa"/>
            <w:tcBorders>
              <w:top w:val="nil"/>
              <w:left w:val="nil"/>
              <w:bottom w:val="nil"/>
              <w:right w:val="nil"/>
            </w:tcBorders>
            <w:shd w:val="clear" w:color="000000" w:fill="FFFFFF"/>
            <w:vAlign w:val="center"/>
            <w:hideMark/>
          </w:tcPr>
          <w:p w14:paraId="575675DE" w14:textId="1FE6C767" w:rsidR="0022006B" w:rsidRPr="0023248A" w:rsidRDefault="0022006B" w:rsidP="0022006B">
            <w:pPr>
              <w:jc w:val="right"/>
              <w:rPr>
                <w:rFonts w:eastAsia="Times New Roman"/>
                <w:color w:val="000000"/>
                <w:sz w:val="20"/>
                <w:szCs w:val="20"/>
              </w:rPr>
            </w:pPr>
            <w:r>
              <w:rPr>
                <w:color w:val="000000"/>
                <w:sz w:val="20"/>
                <w:szCs w:val="20"/>
              </w:rPr>
              <w:t>6,708,000</w:t>
            </w:r>
          </w:p>
        </w:tc>
        <w:tc>
          <w:tcPr>
            <w:tcW w:w="840" w:type="dxa"/>
            <w:tcBorders>
              <w:top w:val="nil"/>
              <w:left w:val="nil"/>
              <w:bottom w:val="nil"/>
              <w:right w:val="nil"/>
            </w:tcBorders>
            <w:shd w:val="clear" w:color="000000" w:fill="FFFFFF"/>
            <w:vAlign w:val="center"/>
            <w:hideMark/>
          </w:tcPr>
          <w:p w14:paraId="2AF498BF" w14:textId="0B8A4E16" w:rsidR="0022006B" w:rsidRPr="00FF602D" w:rsidRDefault="0022006B" w:rsidP="0022006B">
            <w:pPr>
              <w:jc w:val="right"/>
              <w:rPr>
                <w:rFonts w:eastAsia="Times New Roman"/>
                <w:color w:val="FF0000"/>
                <w:sz w:val="20"/>
                <w:szCs w:val="20"/>
              </w:rPr>
            </w:pPr>
            <w:r w:rsidRPr="0022006B">
              <w:rPr>
                <w:color w:val="FF0000"/>
                <w:sz w:val="20"/>
                <w:szCs w:val="20"/>
              </w:rPr>
              <w:t>15.1%</w:t>
            </w:r>
          </w:p>
        </w:tc>
      </w:tr>
    </w:tbl>
    <w:p w14:paraId="5426D4DC" w14:textId="77777777" w:rsidR="00CF42EE" w:rsidRPr="009210A7" w:rsidRDefault="00CF42EE" w:rsidP="00CF42EE">
      <w:pPr>
        <w:spacing w:before="161"/>
        <w:ind w:left="100"/>
        <w:rPr>
          <w:b/>
          <w:sz w:val="20"/>
          <w:szCs w:val="20"/>
        </w:rPr>
      </w:pPr>
    </w:p>
    <w:tbl>
      <w:tblPr>
        <w:tblW w:w="0" w:type="auto"/>
        <w:tblInd w:w="990" w:type="dxa"/>
        <w:tblLayout w:type="fixed"/>
        <w:tblCellMar>
          <w:left w:w="0" w:type="dxa"/>
          <w:right w:w="0" w:type="dxa"/>
        </w:tblCellMar>
        <w:tblLook w:val="01E0" w:firstRow="1" w:lastRow="1" w:firstColumn="1" w:lastColumn="1" w:noHBand="0" w:noVBand="0"/>
      </w:tblPr>
      <w:tblGrid>
        <w:gridCol w:w="2160"/>
        <w:gridCol w:w="6204"/>
      </w:tblGrid>
      <w:tr w:rsidR="00CF42EE" w14:paraId="3BED5476" w14:textId="77777777" w:rsidTr="00F02E8D">
        <w:trPr>
          <w:trHeight w:val="1295"/>
        </w:trPr>
        <w:tc>
          <w:tcPr>
            <w:tcW w:w="2160" w:type="dxa"/>
          </w:tcPr>
          <w:p w14:paraId="70C0CECA" w14:textId="2CBC30DB" w:rsidR="00CF42EE" w:rsidRPr="0022006B" w:rsidRDefault="00CF42EE" w:rsidP="00F02E8D">
            <w:pPr>
              <w:pStyle w:val="TableParagraph"/>
              <w:spacing w:line="763" w:lineRule="exact"/>
              <w:ind w:left="48" w:right="523"/>
              <w:jc w:val="center"/>
              <w:rPr>
                <w:b/>
                <w:color w:val="4F81BD" w:themeColor="accent1"/>
                <w:sz w:val="66"/>
              </w:rPr>
            </w:pPr>
            <w:r w:rsidRPr="0022006B">
              <w:rPr>
                <w:b/>
                <w:color w:val="4F81BD" w:themeColor="accent1"/>
                <w:spacing w:val="-4"/>
                <w:sz w:val="66"/>
              </w:rPr>
              <w:t>5.</w:t>
            </w:r>
            <w:r w:rsidR="0022006B" w:rsidRPr="0022006B">
              <w:rPr>
                <w:b/>
                <w:color w:val="4F81BD" w:themeColor="accent1"/>
                <w:spacing w:val="-4"/>
                <w:sz w:val="66"/>
              </w:rPr>
              <w:t>4</w:t>
            </w:r>
            <w:r w:rsidRPr="0022006B">
              <w:rPr>
                <w:b/>
                <w:color w:val="4F81BD" w:themeColor="accent1"/>
                <w:spacing w:val="-4"/>
                <w:sz w:val="66"/>
              </w:rPr>
              <w:t>%</w:t>
            </w:r>
          </w:p>
          <w:p w14:paraId="2FCA178A" w14:textId="77777777" w:rsidR="00CF42EE" w:rsidRDefault="00CF42EE" w:rsidP="00F02E8D">
            <w:pPr>
              <w:pStyle w:val="TableParagraph"/>
              <w:spacing w:before="2"/>
              <w:ind w:left="0" w:right="523"/>
              <w:jc w:val="center"/>
              <w:rPr>
                <w:b/>
                <w:sz w:val="20"/>
              </w:rPr>
            </w:pPr>
            <w:r>
              <w:rPr>
                <w:b/>
                <w:sz w:val="20"/>
              </w:rPr>
              <w:t>CA Unemployment Rate</w:t>
            </w:r>
          </w:p>
        </w:tc>
        <w:tc>
          <w:tcPr>
            <w:tcW w:w="6204" w:type="dxa"/>
          </w:tcPr>
          <w:p w14:paraId="76F5E238" w14:textId="46BA0407" w:rsidR="00CF42EE" w:rsidRPr="004B16EB" w:rsidRDefault="00CF42EE" w:rsidP="00F02E8D">
            <w:pPr>
              <w:pStyle w:val="TableParagraph"/>
              <w:spacing w:line="225" w:lineRule="exact"/>
              <w:ind w:left="720"/>
            </w:pPr>
            <w:r w:rsidRPr="007A139A">
              <w:t xml:space="preserve">California's reported unemployment rate (seasonally adjusted) </w:t>
            </w:r>
            <w:r w:rsidR="0022006B">
              <w:t>was unchanged at 5.4</w:t>
            </w:r>
            <w:r>
              <w:t xml:space="preserve">%.  The US rate </w:t>
            </w:r>
            <w:r w:rsidR="0022006B">
              <w:t>edged up</w:t>
            </w:r>
            <w:r>
              <w:t xml:space="preserve"> 0.1 point to 4.2%.</w:t>
            </w:r>
          </w:p>
          <w:p w14:paraId="51F47D6C" w14:textId="77777777" w:rsidR="00CF42EE" w:rsidRPr="007A139A" w:rsidRDefault="00CF42EE" w:rsidP="00F02E8D">
            <w:pPr>
              <w:pStyle w:val="TableParagraph"/>
              <w:spacing w:line="225" w:lineRule="exact"/>
              <w:ind w:left="720"/>
            </w:pPr>
          </w:p>
          <w:p w14:paraId="2B7C7479" w14:textId="187E9796" w:rsidR="00CF42EE" w:rsidRPr="007A139A" w:rsidRDefault="00CF42EE" w:rsidP="00F02E8D">
            <w:pPr>
              <w:pStyle w:val="TableParagraph"/>
              <w:spacing w:line="225" w:lineRule="exact"/>
              <w:ind w:left="720"/>
            </w:pPr>
            <w:r>
              <w:t xml:space="preserve">Among the states, California again had the second highest unemployment rate, </w:t>
            </w:r>
            <w:r w:rsidR="0022006B">
              <w:t xml:space="preserve">behind Nevada with 5.7%.  DC also had a higher rate at 5.7%. </w:t>
            </w:r>
          </w:p>
          <w:p w14:paraId="608D106F" w14:textId="77777777" w:rsidR="00CF42EE" w:rsidRDefault="00CF42EE" w:rsidP="00F02E8D">
            <w:pPr>
              <w:pStyle w:val="TableParagraph"/>
              <w:spacing w:line="270" w:lineRule="atLeast"/>
              <w:ind w:left="720"/>
            </w:pPr>
          </w:p>
          <w:p w14:paraId="1EBC614C" w14:textId="77777777" w:rsidR="00CF42EE" w:rsidRDefault="00CF42EE" w:rsidP="00F02E8D">
            <w:pPr>
              <w:pStyle w:val="TableParagraph"/>
              <w:spacing w:line="270" w:lineRule="atLeast"/>
              <w:ind w:left="720"/>
            </w:pPr>
          </w:p>
        </w:tc>
      </w:tr>
    </w:tbl>
    <w:p w14:paraId="5220A10B" w14:textId="0B754D86" w:rsidR="00CF42EE" w:rsidRDefault="00CF42EE" w:rsidP="0022006B">
      <w:pPr>
        <w:pStyle w:val="BodyText"/>
        <w:rPr>
          <w:bCs/>
          <w:i/>
          <w:iCs/>
          <w:sz w:val="20"/>
          <w:szCs w:val="20"/>
        </w:rPr>
      </w:pPr>
      <w:r>
        <w:rPr>
          <w:bCs/>
          <w:i/>
          <w:iCs/>
          <w:sz w:val="20"/>
          <w:szCs w:val="20"/>
        </w:rPr>
        <w:t xml:space="preserve"> </w:t>
      </w:r>
    </w:p>
    <w:p w14:paraId="48CF0394" w14:textId="77777777" w:rsidR="00CF42EE" w:rsidRPr="007004AA" w:rsidRDefault="00CF42EE" w:rsidP="00CF42EE">
      <w:pPr>
        <w:pStyle w:val="BodyText"/>
        <w:jc w:val="center"/>
        <w:rPr>
          <w:bCs/>
          <w:i/>
          <w:iCs/>
          <w:sz w:val="20"/>
          <w:szCs w:val="20"/>
        </w:rPr>
      </w:pPr>
    </w:p>
    <w:tbl>
      <w:tblPr>
        <w:tblW w:w="0" w:type="auto"/>
        <w:tblInd w:w="990" w:type="dxa"/>
        <w:tblLayout w:type="fixed"/>
        <w:tblCellMar>
          <w:left w:w="0" w:type="dxa"/>
          <w:right w:w="0" w:type="dxa"/>
        </w:tblCellMar>
        <w:tblLook w:val="01E0" w:firstRow="1" w:lastRow="1" w:firstColumn="1" w:lastColumn="1" w:noHBand="0" w:noVBand="0"/>
      </w:tblPr>
      <w:tblGrid>
        <w:gridCol w:w="2160"/>
        <w:gridCol w:w="6204"/>
      </w:tblGrid>
      <w:tr w:rsidR="00CF42EE" w14:paraId="3E9B20D1" w14:textId="77777777" w:rsidTr="00F02E8D">
        <w:trPr>
          <w:trHeight w:val="1295"/>
        </w:trPr>
        <w:tc>
          <w:tcPr>
            <w:tcW w:w="2160" w:type="dxa"/>
          </w:tcPr>
          <w:p w14:paraId="48C923C6" w14:textId="712A925A" w:rsidR="00CF42EE" w:rsidRPr="00CB6C82" w:rsidRDefault="00CB6C82" w:rsidP="00F02E8D">
            <w:pPr>
              <w:pStyle w:val="TableParagraph"/>
              <w:spacing w:line="763" w:lineRule="exact"/>
              <w:ind w:left="48" w:right="356"/>
              <w:rPr>
                <w:b/>
                <w:color w:val="FF0000"/>
                <w:sz w:val="66"/>
              </w:rPr>
            </w:pPr>
            <w:r w:rsidRPr="00CB6C82">
              <w:rPr>
                <w:b/>
                <w:color w:val="FF0000"/>
                <w:spacing w:val="-4"/>
                <w:sz w:val="66"/>
              </w:rPr>
              <w:t>-19.6k</w:t>
            </w:r>
          </w:p>
          <w:p w14:paraId="676E490E" w14:textId="77777777" w:rsidR="00CF42EE" w:rsidRDefault="00CF42EE" w:rsidP="00F02E8D">
            <w:pPr>
              <w:pStyle w:val="TableParagraph"/>
              <w:spacing w:before="2"/>
              <w:ind w:left="0" w:right="523"/>
              <w:jc w:val="center"/>
              <w:rPr>
                <w:b/>
                <w:sz w:val="20"/>
              </w:rPr>
            </w:pPr>
            <w:r>
              <w:rPr>
                <w:b/>
                <w:sz w:val="20"/>
              </w:rPr>
              <w:t>CA Employment</w:t>
            </w:r>
          </w:p>
        </w:tc>
        <w:tc>
          <w:tcPr>
            <w:tcW w:w="6204" w:type="dxa"/>
          </w:tcPr>
          <w:p w14:paraId="0CF58E08" w14:textId="5D91FCDB" w:rsidR="00CF42EE" w:rsidRDefault="00CF42EE" w:rsidP="00F02E8D">
            <w:pPr>
              <w:pStyle w:val="TableParagraph"/>
              <w:spacing w:line="225" w:lineRule="exact"/>
              <w:ind w:left="720"/>
            </w:pPr>
            <w:r>
              <w:t xml:space="preserve">Employment </w:t>
            </w:r>
            <w:r w:rsidR="00CB6C82">
              <w:t>fell 19,600</w:t>
            </w:r>
            <w:r>
              <w:t xml:space="preserve"> (seasonally adjusted), with the total employment loss since the previous peak in May 2023 at </w:t>
            </w:r>
            <w:r w:rsidR="00CB6C82">
              <w:t>101,100</w:t>
            </w:r>
            <w:r>
              <w:t xml:space="preserve">.  </w:t>
            </w:r>
          </w:p>
          <w:p w14:paraId="43568A9E" w14:textId="77777777" w:rsidR="00CF42EE" w:rsidRDefault="00CF42EE" w:rsidP="00F02E8D">
            <w:pPr>
              <w:pStyle w:val="TableParagraph"/>
              <w:spacing w:line="225" w:lineRule="exact"/>
              <w:ind w:left="720"/>
            </w:pPr>
          </w:p>
          <w:p w14:paraId="6A10B4B3" w14:textId="2EE0CA9B" w:rsidR="00CF42EE" w:rsidRDefault="00CF42EE" w:rsidP="00F02E8D">
            <w:pPr>
              <w:pStyle w:val="TableParagraph"/>
              <w:spacing w:line="225" w:lineRule="exact"/>
              <w:ind w:left="720"/>
            </w:pPr>
            <w:r>
              <w:t xml:space="preserve">US employment </w:t>
            </w:r>
            <w:r w:rsidR="00CB6C82">
              <w:t>fell by 355,000</w:t>
            </w:r>
            <w:r>
              <w:t xml:space="preserve">.  </w:t>
            </w:r>
          </w:p>
          <w:p w14:paraId="1DF1270C" w14:textId="77777777" w:rsidR="00CF42EE" w:rsidRDefault="00CF42EE" w:rsidP="00F02E8D">
            <w:pPr>
              <w:pStyle w:val="TableParagraph"/>
              <w:spacing w:line="225" w:lineRule="exact"/>
              <w:ind w:left="720"/>
            </w:pPr>
          </w:p>
          <w:p w14:paraId="4773C00A" w14:textId="5406B346" w:rsidR="00CF42EE" w:rsidRDefault="00CF42EE" w:rsidP="00F02E8D">
            <w:pPr>
              <w:pStyle w:val="TableParagraph"/>
              <w:spacing w:line="225" w:lineRule="exact"/>
              <w:ind w:left="720"/>
            </w:pPr>
            <w:r>
              <w:lastRenderedPageBreak/>
              <w:t xml:space="preserve">California unemployment </w:t>
            </w:r>
            <w:r w:rsidR="00CB6C82">
              <w:t>continued rising by 9,400</w:t>
            </w:r>
            <w:r>
              <w:t xml:space="preserve">, while US unemployment </w:t>
            </w:r>
            <w:r w:rsidR="00CB6C82">
              <w:t xml:space="preserve">also rose, </w:t>
            </w:r>
            <w:r>
              <w:t xml:space="preserve">by </w:t>
            </w:r>
            <w:r w:rsidR="00CB6C82">
              <w:t>161</w:t>
            </w:r>
            <w:r>
              <w:t>,000</w:t>
            </w:r>
            <w:r w:rsidRPr="007A139A">
              <w:t xml:space="preserve">. </w:t>
            </w:r>
            <w:r>
              <w:t xml:space="preserve"> </w:t>
            </w:r>
            <w:r w:rsidRPr="00FE2461">
              <w:rPr>
                <w:b/>
                <w:bCs/>
              </w:rPr>
              <w:t>California unemployment has been above 1 million</w:t>
            </w:r>
            <w:r w:rsidR="00CB6C82">
              <w:rPr>
                <w:b/>
                <w:bCs/>
              </w:rPr>
              <w:t xml:space="preserve"> every month to date in 2024</w:t>
            </w:r>
            <w:r w:rsidRPr="00FE2461">
              <w:rPr>
                <w:b/>
                <w:bCs/>
              </w:rPr>
              <w:t>, the highest levels since the pandemic period in 2021.</w:t>
            </w:r>
          </w:p>
        </w:tc>
      </w:tr>
    </w:tbl>
    <w:p w14:paraId="6046BBF4" w14:textId="77777777" w:rsidR="00CF42EE" w:rsidRDefault="00CF42EE" w:rsidP="00CF42EE">
      <w:pPr>
        <w:rPr>
          <w:b/>
          <w:sz w:val="28"/>
        </w:rPr>
      </w:pPr>
    </w:p>
    <w:tbl>
      <w:tblPr>
        <w:tblW w:w="0" w:type="auto"/>
        <w:tblInd w:w="990" w:type="dxa"/>
        <w:tblLayout w:type="fixed"/>
        <w:tblCellMar>
          <w:left w:w="0" w:type="dxa"/>
          <w:right w:w="0" w:type="dxa"/>
        </w:tblCellMar>
        <w:tblLook w:val="01E0" w:firstRow="1" w:lastRow="1" w:firstColumn="1" w:lastColumn="1" w:noHBand="0" w:noVBand="0"/>
      </w:tblPr>
      <w:tblGrid>
        <w:gridCol w:w="2160"/>
        <w:gridCol w:w="6204"/>
      </w:tblGrid>
      <w:tr w:rsidR="00CF42EE" w14:paraId="7A0B02DA" w14:textId="77777777" w:rsidTr="00F02E8D">
        <w:trPr>
          <w:trHeight w:val="1295"/>
        </w:trPr>
        <w:tc>
          <w:tcPr>
            <w:tcW w:w="2160" w:type="dxa"/>
          </w:tcPr>
          <w:p w14:paraId="14A56B2A" w14:textId="77777777" w:rsidR="00CF42EE" w:rsidRPr="00AB4E4E" w:rsidRDefault="00CF42EE" w:rsidP="00F02E8D">
            <w:pPr>
              <w:pStyle w:val="TableParagraph"/>
              <w:spacing w:line="763" w:lineRule="exact"/>
              <w:ind w:left="48" w:right="523"/>
              <w:jc w:val="center"/>
              <w:rPr>
                <w:b/>
                <w:color w:val="4F81BD" w:themeColor="accent1"/>
                <w:sz w:val="66"/>
              </w:rPr>
            </w:pPr>
            <w:r w:rsidRPr="00AB4E4E">
              <w:rPr>
                <w:b/>
                <w:color w:val="4F81BD" w:themeColor="accent1"/>
                <w:spacing w:val="-4"/>
                <w:sz w:val="66"/>
              </w:rPr>
              <w:t>62.</w:t>
            </w:r>
            <w:r>
              <w:rPr>
                <w:b/>
                <w:color w:val="4F81BD" w:themeColor="accent1"/>
                <w:spacing w:val="-4"/>
                <w:sz w:val="66"/>
              </w:rPr>
              <w:t>1</w:t>
            </w:r>
            <w:r w:rsidRPr="00AB4E4E">
              <w:rPr>
                <w:b/>
                <w:color w:val="4F81BD" w:themeColor="accent1"/>
                <w:spacing w:val="-4"/>
                <w:sz w:val="66"/>
              </w:rPr>
              <w:t>%</w:t>
            </w:r>
          </w:p>
          <w:p w14:paraId="290CF6D6" w14:textId="77777777" w:rsidR="00CF42EE" w:rsidRDefault="00CF42EE" w:rsidP="00F02E8D">
            <w:pPr>
              <w:pStyle w:val="TableParagraph"/>
              <w:spacing w:before="2"/>
              <w:ind w:left="0" w:right="523"/>
              <w:jc w:val="center"/>
              <w:rPr>
                <w:b/>
                <w:sz w:val="20"/>
              </w:rPr>
            </w:pPr>
            <w:r>
              <w:rPr>
                <w:b/>
                <w:sz w:val="20"/>
              </w:rPr>
              <w:t>CA Labor Force Participation Rate</w:t>
            </w:r>
          </w:p>
        </w:tc>
        <w:tc>
          <w:tcPr>
            <w:tcW w:w="6204" w:type="dxa"/>
          </w:tcPr>
          <w:p w14:paraId="71663BA4" w14:textId="55EF7A51" w:rsidR="00CF42EE" w:rsidRDefault="00CF42EE" w:rsidP="00F02E8D">
            <w:pPr>
              <w:pStyle w:val="TableParagraph"/>
              <w:spacing w:line="225" w:lineRule="exact"/>
              <w:ind w:left="720"/>
            </w:pPr>
            <w:r>
              <w:t xml:space="preserve">California labor force (seasonally adjusted) </w:t>
            </w:r>
            <w:r w:rsidR="00CB6C82">
              <w:t>fell 10,200</w:t>
            </w:r>
            <w:r>
              <w:t xml:space="preserve">, while the labor force participation rate was </w:t>
            </w:r>
            <w:r w:rsidR="00CB6C82">
              <w:t>unchanged at</w:t>
            </w:r>
            <w:r>
              <w:t xml:space="preserve"> 62.1%.  The US labor force </w:t>
            </w:r>
            <w:r w:rsidR="00CB6C82">
              <w:t>was down 193</w:t>
            </w:r>
            <w:r>
              <w:t xml:space="preserve">,000, while the participation rate </w:t>
            </w:r>
            <w:r w:rsidR="00CB6C82">
              <w:t>notched down 0.1 point</w:t>
            </w:r>
            <w:r>
              <w:t xml:space="preserve"> </w:t>
            </w:r>
            <w:r w:rsidR="00CB6C82">
              <w:t>to</w:t>
            </w:r>
            <w:r>
              <w:t xml:space="preserve"> 62</w:t>
            </w:r>
            <w:r w:rsidR="00CB6C82">
              <w:t>.5</w:t>
            </w:r>
            <w:r>
              <w:t xml:space="preserve">%. </w:t>
            </w:r>
          </w:p>
        </w:tc>
      </w:tr>
    </w:tbl>
    <w:p w14:paraId="13796434" w14:textId="77777777" w:rsidR="00CF42EE" w:rsidRDefault="00CF42EE" w:rsidP="00CF42EE">
      <w:pPr>
        <w:rPr>
          <w:b/>
          <w:sz w:val="28"/>
        </w:rPr>
      </w:pPr>
    </w:p>
    <w:p w14:paraId="3305CDDF" w14:textId="77777777" w:rsidR="00CF42EE" w:rsidRPr="008527FC" w:rsidRDefault="00CF42EE" w:rsidP="00CF42EE">
      <w:pPr>
        <w:pStyle w:val="BodyText"/>
        <w:spacing w:before="193" w:line="259" w:lineRule="auto"/>
        <w:ind w:right="403"/>
        <w:rPr>
          <w:b/>
          <w:bCs/>
          <w:spacing w:val="-2"/>
          <w:sz w:val="27"/>
          <w:szCs w:val="27"/>
        </w:rPr>
      </w:pPr>
      <w:r>
        <w:rPr>
          <w:b/>
          <w:sz w:val="28"/>
        </w:rPr>
        <w:t xml:space="preserve"> </w:t>
      </w:r>
      <w:r w:rsidRPr="008527FC">
        <w:rPr>
          <w:b/>
          <w:bCs/>
          <w:spacing w:val="-2"/>
          <w:sz w:val="27"/>
          <w:szCs w:val="27"/>
        </w:rPr>
        <w:t>Recovery Progress</w:t>
      </w:r>
      <w:r>
        <w:rPr>
          <w:b/>
          <w:bCs/>
          <w:spacing w:val="-2"/>
          <w:sz w:val="27"/>
          <w:szCs w:val="27"/>
        </w:rPr>
        <w:t>:  CA Employment vs. Other States</w:t>
      </w:r>
    </w:p>
    <w:p w14:paraId="00B7B996" w14:textId="77777777" w:rsidR="00CF42EE" w:rsidRDefault="00CF42EE" w:rsidP="00CF42EE"/>
    <w:p w14:paraId="23574D3E" w14:textId="39E09674" w:rsidR="00CF42EE" w:rsidRDefault="00CF42EE" w:rsidP="00CF42EE">
      <w:pPr>
        <w:rPr>
          <w:spacing w:val="-2"/>
        </w:rPr>
      </w:pPr>
      <w:r>
        <w:t xml:space="preserve">Compared to the pre-pandemic peak in February 2020, California’s relative ranking for employment recovery </w:t>
      </w:r>
      <w:r w:rsidR="00514F88">
        <w:t>remained at</w:t>
      </w:r>
      <w:r>
        <w:t xml:space="preserve"> 5</w:t>
      </w:r>
      <w:r w:rsidRPr="00446952">
        <w:rPr>
          <w:vertAlign w:val="superscript"/>
        </w:rPr>
        <w:t>th</w:t>
      </w:r>
      <w:r>
        <w:t xml:space="preserve"> lowest among the states and DC.  </w:t>
      </w:r>
    </w:p>
    <w:p w14:paraId="673AFB45" w14:textId="77777777" w:rsidR="00CF42EE" w:rsidRDefault="00CF42EE" w:rsidP="00CF42EE"/>
    <w:p w14:paraId="5CC670CD" w14:textId="749CD19F" w:rsidR="00CF42EE" w:rsidRDefault="00514F88" w:rsidP="00CF42EE">
      <w:pPr>
        <w:jc w:val="center"/>
      </w:pPr>
      <w:r>
        <w:rPr>
          <w:noProof/>
        </w:rPr>
        <w:lastRenderedPageBreak/>
        <w:drawing>
          <wp:inline distT="0" distB="0" distL="0" distR="0" wp14:anchorId="733789E2" wp14:editId="6183686C">
            <wp:extent cx="4432668" cy="5985674"/>
            <wp:effectExtent l="0" t="0" r="6350" b="0"/>
            <wp:docPr id="17471418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8813" cy="5993971"/>
                    </a:xfrm>
                    <a:prstGeom prst="rect">
                      <a:avLst/>
                    </a:prstGeom>
                    <a:noFill/>
                  </pic:spPr>
                </pic:pic>
              </a:graphicData>
            </a:graphic>
          </wp:inline>
        </w:drawing>
      </w:r>
    </w:p>
    <w:p w14:paraId="43E24BD4" w14:textId="77777777" w:rsidR="00CF42EE" w:rsidRDefault="00CF42EE" w:rsidP="00CF42EE">
      <w:pPr>
        <w:rPr>
          <w:b/>
          <w:bCs/>
          <w:sz w:val="28"/>
          <w:szCs w:val="28"/>
        </w:rPr>
      </w:pPr>
      <w:r>
        <w:rPr>
          <w:b/>
          <w:bCs/>
          <w:sz w:val="28"/>
          <w:szCs w:val="28"/>
        </w:rPr>
        <w:t xml:space="preserve"> </w:t>
      </w:r>
    </w:p>
    <w:p w14:paraId="5B83D84F" w14:textId="26C4E6BC" w:rsidR="00CF42EE" w:rsidRPr="003C1188" w:rsidRDefault="00CF42EE" w:rsidP="00CF42EE">
      <w:pPr>
        <w:rPr>
          <w:b/>
          <w:bCs/>
          <w:sz w:val="28"/>
          <w:szCs w:val="28"/>
        </w:rPr>
      </w:pPr>
      <w:r w:rsidRPr="003C1188">
        <w:rPr>
          <w:b/>
          <w:bCs/>
          <w:sz w:val="28"/>
          <w:szCs w:val="28"/>
        </w:rPr>
        <w:t>Nonfarm Jobs</w:t>
      </w:r>
    </w:p>
    <w:tbl>
      <w:tblPr>
        <w:tblpPr w:leftFromText="180" w:rightFromText="180" w:vertAnchor="text" w:horzAnchor="page" w:tblpX="2367" w:tblpY="483"/>
        <w:tblW w:w="0" w:type="auto"/>
        <w:tblLayout w:type="fixed"/>
        <w:tblCellMar>
          <w:left w:w="0" w:type="dxa"/>
          <w:right w:w="0" w:type="dxa"/>
        </w:tblCellMar>
        <w:tblLook w:val="01E0" w:firstRow="1" w:lastRow="1" w:firstColumn="1" w:lastColumn="1" w:noHBand="0" w:noVBand="0"/>
      </w:tblPr>
      <w:tblGrid>
        <w:gridCol w:w="2239"/>
        <w:gridCol w:w="6116"/>
      </w:tblGrid>
      <w:tr w:rsidR="00CF42EE" w14:paraId="49A4DD49" w14:textId="77777777" w:rsidTr="00F02E8D">
        <w:trPr>
          <w:trHeight w:val="1834"/>
        </w:trPr>
        <w:tc>
          <w:tcPr>
            <w:tcW w:w="2239" w:type="dxa"/>
          </w:tcPr>
          <w:p w14:paraId="6C0E35CC" w14:textId="523F5628" w:rsidR="00CF42EE" w:rsidRPr="00E21181" w:rsidRDefault="0001579A" w:rsidP="00F02E8D">
            <w:pPr>
              <w:pStyle w:val="TableParagraph"/>
              <w:spacing w:line="763" w:lineRule="exact"/>
              <w:ind w:left="42" w:right="516"/>
              <w:jc w:val="center"/>
              <w:rPr>
                <w:b/>
                <w:color w:val="4F81BD" w:themeColor="accent1"/>
                <w:sz w:val="66"/>
              </w:rPr>
            </w:pPr>
            <w:r>
              <w:rPr>
                <w:b/>
                <w:color w:val="4F81BD" w:themeColor="accent1"/>
                <w:spacing w:val="-2"/>
                <w:sz w:val="66"/>
              </w:rPr>
              <w:t>11.1k</w:t>
            </w:r>
          </w:p>
          <w:p w14:paraId="7832D0E9" w14:textId="77777777" w:rsidR="00CF42EE" w:rsidRDefault="00CF42EE" w:rsidP="00F02E8D">
            <w:pPr>
              <w:pStyle w:val="TableParagraph"/>
              <w:spacing w:before="2"/>
              <w:ind w:left="50" w:right="526" w:firstLine="2"/>
              <w:jc w:val="center"/>
              <w:rPr>
                <w:b/>
                <w:sz w:val="20"/>
              </w:rPr>
            </w:pPr>
            <w:r>
              <w:rPr>
                <w:b/>
                <w:sz w:val="20"/>
              </w:rPr>
              <w:t xml:space="preserve">Nonfarm Jobs Change </w:t>
            </w:r>
          </w:p>
        </w:tc>
        <w:tc>
          <w:tcPr>
            <w:tcW w:w="6116" w:type="dxa"/>
          </w:tcPr>
          <w:p w14:paraId="508579F2" w14:textId="5249FCBC" w:rsidR="00CF42EE" w:rsidRDefault="00CF42EE" w:rsidP="00F02E8D">
            <w:pPr>
              <w:pStyle w:val="TableParagraph"/>
              <w:spacing w:line="225" w:lineRule="exact"/>
              <w:ind w:left="527"/>
            </w:pPr>
            <w:r w:rsidRPr="00F96CDD">
              <w:t>Nonfarm wage and salary jobs</w:t>
            </w:r>
            <w:r w:rsidRPr="00E21181">
              <w:t xml:space="preserve"> </w:t>
            </w:r>
            <w:r>
              <w:t xml:space="preserve">rose </w:t>
            </w:r>
            <w:r w:rsidR="0001579A">
              <w:t>11,1</w:t>
            </w:r>
            <w:r>
              <w:t xml:space="preserve">00 </w:t>
            </w:r>
            <w:r w:rsidRPr="00E21181">
              <w:t xml:space="preserve">in the preliminary results for </w:t>
            </w:r>
            <w:r w:rsidR="0001579A">
              <w:t>November</w:t>
            </w:r>
            <w:r w:rsidRPr="00E21181">
              <w:t xml:space="preserve">, </w:t>
            </w:r>
            <w:r>
              <w:t xml:space="preserve">while the </w:t>
            </w:r>
            <w:r w:rsidR="0001579A">
              <w:t>October losses</w:t>
            </w:r>
            <w:r>
              <w:t xml:space="preserve"> were </w:t>
            </w:r>
            <w:r w:rsidR="0001579A">
              <w:t>revised to a gain of 9,100</w:t>
            </w:r>
            <w:r w:rsidRPr="00F96CDD">
              <w:t>.</w:t>
            </w:r>
          </w:p>
          <w:p w14:paraId="2BA42A22" w14:textId="77777777" w:rsidR="00CF42EE" w:rsidRPr="00DE679F" w:rsidRDefault="00CF42EE" w:rsidP="00F02E8D">
            <w:pPr>
              <w:pStyle w:val="TableParagraph"/>
              <w:spacing w:line="225" w:lineRule="exact"/>
              <w:ind w:left="527"/>
            </w:pPr>
          </w:p>
          <w:p w14:paraId="53F11F6F" w14:textId="7E4C3150" w:rsidR="00CF42EE" w:rsidRDefault="00CF42EE" w:rsidP="00F02E8D">
            <w:pPr>
              <w:pStyle w:val="TableParagraph"/>
              <w:spacing w:line="225" w:lineRule="exact"/>
              <w:ind w:left="527"/>
            </w:pPr>
            <w:r>
              <w:t xml:space="preserve">For the US as a whole, nonfarm jobs rose </w:t>
            </w:r>
            <w:r w:rsidR="0001579A">
              <w:t>227</w:t>
            </w:r>
            <w:r>
              <w:t xml:space="preserve">,000 </w:t>
            </w:r>
            <w:r w:rsidR="0001579A">
              <w:t>as some states recovered from the prior month losses due to strikes and hurricanes.</w:t>
            </w:r>
          </w:p>
          <w:p w14:paraId="644FD14B" w14:textId="77777777" w:rsidR="00CF42EE" w:rsidRDefault="00CF42EE" w:rsidP="00F02E8D">
            <w:pPr>
              <w:pStyle w:val="TableParagraph"/>
              <w:spacing w:line="225" w:lineRule="exact"/>
              <w:ind w:left="527"/>
            </w:pPr>
          </w:p>
          <w:p w14:paraId="05EFCCD9" w14:textId="77777777" w:rsidR="00137B7B" w:rsidRDefault="00CF42EE" w:rsidP="00F02E8D">
            <w:pPr>
              <w:pStyle w:val="TableParagraph"/>
              <w:spacing w:line="225" w:lineRule="exact"/>
              <w:ind w:left="527"/>
            </w:pPr>
            <w:r w:rsidRPr="008527FC">
              <w:t xml:space="preserve">The seasonally adjusted numbers for California showed gains in </w:t>
            </w:r>
            <w:r>
              <w:t>10 industries and losses in</w:t>
            </w:r>
            <w:r w:rsidR="00137B7B">
              <w:t xml:space="preserve"> the other 8</w:t>
            </w:r>
            <w:r>
              <w:t>.   I</w:t>
            </w:r>
            <w:r w:rsidRPr="008527FC">
              <w:t>ncreases</w:t>
            </w:r>
            <w:r>
              <w:t xml:space="preserve"> were</w:t>
            </w:r>
            <w:r w:rsidRPr="008527FC">
              <w:t xml:space="preserve"> led by </w:t>
            </w:r>
            <w:r>
              <w:t>Healthcare &amp; Social Assistance</w:t>
            </w:r>
            <w:r w:rsidRPr="00D71517">
              <w:t xml:space="preserve"> (</w:t>
            </w:r>
            <w:r>
              <w:t>11,</w:t>
            </w:r>
            <w:r w:rsidR="00137B7B">
              <w:t>4</w:t>
            </w:r>
            <w:r>
              <w:t>00</w:t>
            </w:r>
            <w:r w:rsidRPr="00D71517">
              <w:t>)</w:t>
            </w:r>
            <w:r>
              <w:t>,</w:t>
            </w:r>
            <w:r w:rsidRPr="00EA15D9">
              <w:t xml:space="preserve"> </w:t>
            </w:r>
          </w:p>
          <w:p w14:paraId="651D20A1" w14:textId="7E8D4A90" w:rsidR="00CF42EE" w:rsidRDefault="00137B7B" w:rsidP="00F02E8D">
            <w:pPr>
              <w:pStyle w:val="TableParagraph"/>
              <w:spacing w:line="225" w:lineRule="exact"/>
              <w:ind w:left="527"/>
            </w:pPr>
            <w:r w:rsidRPr="00137B7B">
              <w:lastRenderedPageBreak/>
              <w:t>Administrative &amp; Support &amp; Waste Management &amp; Remediation Services</w:t>
            </w:r>
            <w:r>
              <w:t xml:space="preserve"> </w:t>
            </w:r>
            <w:r w:rsidR="00CF42EE">
              <w:t>(</w:t>
            </w:r>
            <w:r>
              <w:t>2</w:t>
            </w:r>
            <w:r w:rsidR="00CF42EE">
              <w:t>,</w:t>
            </w:r>
            <w:r>
              <w:t>3</w:t>
            </w:r>
            <w:r w:rsidR="00CF42EE">
              <w:t xml:space="preserve">00), </w:t>
            </w:r>
            <w:r w:rsidR="00CF42EE" w:rsidRPr="00EA15D9">
              <w:t>and</w:t>
            </w:r>
            <w:r w:rsidR="00CF42EE" w:rsidRPr="008A38EB">
              <w:t xml:space="preserve"> </w:t>
            </w:r>
            <w:r>
              <w:t>Wholesale Trade</w:t>
            </w:r>
            <w:r w:rsidR="00CF42EE" w:rsidRPr="008A38EB">
              <w:t xml:space="preserve"> </w:t>
            </w:r>
            <w:r w:rsidR="00CF42EE">
              <w:t>(</w:t>
            </w:r>
            <w:r>
              <w:t>2,3</w:t>
            </w:r>
            <w:r w:rsidR="00CF42EE">
              <w:t xml:space="preserve">00).  </w:t>
            </w:r>
            <w:r w:rsidR="00CF42EE" w:rsidRPr="008527FC">
              <w:t xml:space="preserve">Losses </w:t>
            </w:r>
            <w:r>
              <w:t>were</w:t>
            </w:r>
            <w:r w:rsidR="00CF42EE">
              <w:t xml:space="preserve"> led by </w:t>
            </w:r>
            <w:r>
              <w:t>Other</w:t>
            </w:r>
            <w:r w:rsidR="00CF42EE">
              <w:t xml:space="preserve"> Services (-</w:t>
            </w:r>
            <w:r>
              <w:t>3,3</w:t>
            </w:r>
            <w:r w:rsidR="00CF42EE">
              <w:t>00),</w:t>
            </w:r>
            <w:r w:rsidR="00CF42EE" w:rsidRPr="00EA15D9">
              <w:t xml:space="preserve"> </w:t>
            </w:r>
            <w:r w:rsidRPr="00137B7B">
              <w:t>Real Estate &amp; Rental &amp; Leasing</w:t>
            </w:r>
            <w:r w:rsidR="00CF42EE" w:rsidRPr="00EA15D9">
              <w:t xml:space="preserve"> </w:t>
            </w:r>
            <w:r w:rsidR="00CF42EE">
              <w:t>(-</w:t>
            </w:r>
            <w:r>
              <w:t>3,2</w:t>
            </w:r>
            <w:r w:rsidR="00CF42EE">
              <w:t xml:space="preserve">00), and </w:t>
            </w:r>
            <w:r>
              <w:t>Construction</w:t>
            </w:r>
            <w:r w:rsidR="00CF42EE">
              <w:t xml:space="preserve"> (-</w:t>
            </w:r>
            <w:r>
              <w:t>2,8</w:t>
            </w:r>
            <w:r w:rsidR="00CF42EE">
              <w:t>00).</w:t>
            </w:r>
          </w:p>
          <w:p w14:paraId="2979C064" w14:textId="77777777" w:rsidR="00CF42EE" w:rsidRDefault="00CF42EE" w:rsidP="00F02E8D">
            <w:pPr>
              <w:pStyle w:val="TableParagraph"/>
              <w:spacing w:line="225" w:lineRule="exact"/>
              <w:ind w:left="527"/>
            </w:pPr>
          </w:p>
          <w:p w14:paraId="3ED6987E" w14:textId="77777777" w:rsidR="00CF42EE" w:rsidRDefault="00CF42EE" w:rsidP="00F02E8D">
            <w:pPr>
              <w:pStyle w:val="TableParagraph"/>
              <w:spacing w:line="225" w:lineRule="exact"/>
              <w:ind w:left="527"/>
            </w:pPr>
          </w:p>
        </w:tc>
      </w:tr>
    </w:tbl>
    <w:p w14:paraId="54CA063F" w14:textId="77777777" w:rsidR="00CF42EE" w:rsidRDefault="00CF42EE" w:rsidP="00CF42EE"/>
    <w:p w14:paraId="673D5A07" w14:textId="77777777" w:rsidR="00CF42EE" w:rsidRDefault="00CF42EE" w:rsidP="00CF42EE">
      <w:pPr>
        <w:rPr>
          <w:b/>
          <w:bCs/>
          <w:sz w:val="28"/>
          <w:szCs w:val="28"/>
        </w:rPr>
      </w:pPr>
    </w:p>
    <w:p w14:paraId="05C355E6" w14:textId="77777777" w:rsidR="00CF42EE" w:rsidRDefault="00CF42EE" w:rsidP="00CF42EE">
      <w:pPr>
        <w:rPr>
          <w:b/>
          <w:bCs/>
          <w:sz w:val="28"/>
          <w:szCs w:val="28"/>
        </w:rPr>
      </w:pPr>
    </w:p>
    <w:p w14:paraId="0F37D4D8" w14:textId="34F02A62" w:rsidR="00514F88" w:rsidRDefault="00514F88" w:rsidP="00CF42EE">
      <w:pPr>
        <w:rPr>
          <w:b/>
          <w:bCs/>
          <w:sz w:val="28"/>
          <w:szCs w:val="28"/>
        </w:rPr>
      </w:pPr>
      <w:r>
        <w:rPr>
          <w:b/>
          <w:bCs/>
          <w:sz w:val="28"/>
          <w:szCs w:val="28"/>
        </w:rPr>
        <w:t xml:space="preserve">                                                      </w:t>
      </w:r>
    </w:p>
    <w:p w14:paraId="07081561" w14:textId="77777777" w:rsidR="00CF42EE" w:rsidRDefault="00CF42EE" w:rsidP="00CF42EE">
      <w:pPr>
        <w:jc w:val="center"/>
        <w:rPr>
          <w:b/>
          <w:bCs/>
          <w:sz w:val="28"/>
          <w:szCs w:val="28"/>
        </w:rPr>
      </w:pPr>
    </w:p>
    <w:p w14:paraId="5AB06FC0" w14:textId="52116286" w:rsidR="00CF42EE" w:rsidRDefault="00CF42EE" w:rsidP="00CF42EE">
      <w:pPr>
        <w:rPr>
          <w:b/>
          <w:bCs/>
        </w:rPr>
      </w:pPr>
      <w:r>
        <w:rPr>
          <w:b/>
          <w:bCs/>
        </w:rPr>
        <w:t xml:space="preserve">Hourly Wages Up </w:t>
      </w:r>
      <w:r w:rsidR="00137B7B">
        <w:rPr>
          <w:b/>
          <w:bCs/>
        </w:rPr>
        <w:t>5.2%</w:t>
      </w:r>
      <w:r>
        <w:rPr>
          <w:b/>
          <w:bCs/>
        </w:rPr>
        <w:t xml:space="preserve">—Average Hours </w:t>
      </w:r>
      <w:r w:rsidR="00137B7B">
        <w:rPr>
          <w:b/>
          <w:bCs/>
        </w:rPr>
        <w:t>Edge Down</w:t>
      </w:r>
    </w:p>
    <w:p w14:paraId="3DBC06E5" w14:textId="77777777" w:rsidR="00CF42EE" w:rsidRDefault="00CF42EE" w:rsidP="00CF42EE">
      <w:pPr>
        <w:rPr>
          <w:b/>
          <w:bCs/>
        </w:rPr>
      </w:pPr>
    </w:p>
    <w:p w14:paraId="7161597A" w14:textId="01396A79" w:rsidR="00CF42EE" w:rsidRDefault="00CF42EE" w:rsidP="00CF42EE">
      <w:r>
        <w:t xml:space="preserve">Over the 12 months ending </w:t>
      </w:r>
      <w:r w:rsidR="00137B7B">
        <w:t>November</w:t>
      </w:r>
      <w:r>
        <w:t xml:space="preserve"> 2024, average hourly wage in all private industries saw growth of </w:t>
      </w:r>
      <w:r w:rsidR="00137B7B">
        <w:t>5.2</w:t>
      </w:r>
      <w:r>
        <w:t xml:space="preserve">%.  </w:t>
      </w:r>
      <w:r w:rsidR="00137B7B">
        <w:t>Only a portion</w:t>
      </w:r>
      <w:r>
        <w:t xml:space="preserve"> of these gains were offset </w:t>
      </w:r>
      <w:r w:rsidR="00137B7B">
        <w:t>as average weekly hours worked edged down by only 0.9%</w:t>
      </w:r>
      <w:r>
        <w:t>.</w:t>
      </w:r>
    </w:p>
    <w:p w14:paraId="3EB298CD" w14:textId="77777777" w:rsidR="00CF42EE" w:rsidRDefault="00CF42EE" w:rsidP="00CF42EE"/>
    <w:p w14:paraId="649CD77F" w14:textId="553B51D6" w:rsidR="00CF42EE" w:rsidRDefault="00CF42EE" w:rsidP="00CF42EE">
      <w:r>
        <w:t xml:space="preserve">The results, however, varied widely by industry.  </w:t>
      </w:r>
      <w:r w:rsidR="00137B7B">
        <w:t>Professional &amp; Business Services saw the highest wage gains at 10.4% along with Other Services also at 10.4%</w:t>
      </w:r>
      <w:r>
        <w:t xml:space="preserve">.  </w:t>
      </w:r>
      <w:r w:rsidR="004C5EBE">
        <w:t>Information saw the greatest hours contraction at -5.6%</w:t>
      </w:r>
      <w:r>
        <w:t xml:space="preserve">. </w:t>
      </w:r>
    </w:p>
    <w:p w14:paraId="700419F8" w14:textId="77777777" w:rsidR="00CF42EE" w:rsidRDefault="00CF42EE" w:rsidP="00CF42EE"/>
    <w:p w14:paraId="68654271" w14:textId="77777777" w:rsidR="00CF42EE" w:rsidRDefault="00CF42EE" w:rsidP="00CF42EE"/>
    <w:p w14:paraId="0FB2D2ED" w14:textId="40F56678" w:rsidR="00CF42EE" w:rsidRPr="0058629B" w:rsidRDefault="00137B7B" w:rsidP="00CF42EE">
      <w:pPr>
        <w:jc w:val="center"/>
      </w:pPr>
      <w:r>
        <w:rPr>
          <w:noProof/>
        </w:rPr>
        <w:drawing>
          <wp:inline distT="0" distB="0" distL="0" distR="0" wp14:anchorId="166B1E9C" wp14:editId="6EC15FD8">
            <wp:extent cx="4467830" cy="2305634"/>
            <wp:effectExtent l="0" t="0" r="0" b="0"/>
            <wp:docPr id="11970938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5977" cy="2309838"/>
                    </a:xfrm>
                    <a:prstGeom prst="rect">
                      <a:avLst/>
                    </a:prstGeom>
                    <a:noFill/>
                  </pic:spPr>
                </pic:pic>
              </a:graphicData>
            </a:graphic>
          </wp:inline>
        </w:drawing>
      </w:r>
    </w:p>
    <w:p w14:paraId="5A529AD3" w14:textId="77777777" w:rsidR="00CF42EE" w:rsidRDefault="00CF42EE" w:rsidP="00CF42EE">
      <w:pPr>
        <w:rPr>
          <w:b/>
          <w:bCs/>
        </w:rPr>
      </w:pPr>
    </w:p>
    <w:p w14:paraId="2BC5C58D" w14:textId="77777777" w:rsidR="004C5EBE" w:rsidRDefault="004C5EBE" w:rsidP="004C5EBE">
      <w:pPr>
        <w:rPr>
          <w:b/>
          <w:bCs/>
          <w:sz w:val="28"/>
          <w:szCs w:val="28"/>
        </w:rPr>
      </w:pPr>
      <w:r w:rsidRPr="00733E4B">
        <w:rPr>
          <w:b/>
          <w:bCs/>
          <w:sz w:val="28"/>
          <w:szCs w:val="28"/>
        </w:rPr>
        <w:t>Recovery Progress:  CA Nonfarm Jobs vs. Other States</w:t>
      </w:r>
    </w:p>
    <w:p w14:paraId="5D388983" w14:textId="77777777" w:rsidR="004C5EBE" w:rsidRDefault="004C5EBE" w:rsidP="004C5EBE">
      <w:pPr>
        <w:rPr>
          <w:b/>
          <w:bCs/>
          <w:sz w:val="28"/>
          <w:szCs w:val="28"/>
        </w:rPr>
      </w:pPr>
    </w:p>
    <w:p w14:paraId="5D0057E1" w14:textId="77777777" w:rsidR="004C5EBE" w:rsidRDefault="004C5EBE" w:rsidP="004C5EBE">
      <w:pPr>
        <w:rPr>
          <w:b/>
          <w:bCs/>
          <w:sz w:val="28"/>
          <w:szCs w:val="28"/>
        </w:rPr>
      </w:pPr>
    </w:p>
    <w:p w14:paraId="71384527" w14:textId="77777777" w:rsidR="004C5EBE" w:rsidRPr="00733E4B" w:rsidRDefault="004C5EBE" w:rsidP="004C5EBE">
      <w:pPr>
        <w:rPr>
          <w:b/>
          <w:bCs/>
          <w:sz w:val="28"/>
          <w:szCs w:val="28"/>
        </w:rPr>
      </w:pPr>
    </w:p>
    <w:p w14:paraId="16C1D105" w14:textId="43B4685F" w:rsidR="004C5EBE" w:rsidRDefault="004C5EBE" w:rsidP="004C5EBE">
      <w:pPr>
        <w:jc w:val="center"/>
        <w:rPr>
          <w:b/>
          <w:bCs/>
          <w:sz w:val="28"/>
          <w:szCs w:val="28"/>
        </w:rPr>
      </w:pPr>
      <w:r w:rsidRPr="004C5EBE">
        <w:rPr>
          <w:noProof/>
        </w:rPr>
        <w:lastRenderedPageBreak/>
        <w:drawing>
          <wp:inline distT="0" distB="0" distL="0" distR="0" wp14:anchorId="7B14CD0A" wp14:editId="5346FD50">
            <wp:extent cx="4426590" cy="3674430"/>
            <wp:effectExtent l="0" t="0" r="0" b="2540"/>
            <wp:docPr id="1874127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27067" name=""/>
                    <pic:cNvPicPr/>
                  </pic:nvPicPr>
                  <pic:blipFill>
                    <a:blip r:embed="rId10"/>
                    <a:stretch>
                      <a:fillRect/>
                    </a:stretch>
                  </pic:blipFill>
                  <pic:spPr>
                    <a:xfrm>
                      <a:off x="0" y="0"/>
                      <a:ext cx="4443356" cy="3688347"/>
                    </a:xfrm>
                    <a:prstGeom prst="rect">
                      <a:avLst/>
                    </a:prstGeom>
                  </pic:spPr>
                </pic:pic>
              </a:graphicData>
            </a:graphic>
          </wp:inline>
        </w:drawing>
      </w:r>
    </w:p>
    <w:p w14:paraId="247C7D5E" w14:textId="77777777" w:rsidR="004C5EBE" w:rsidRDefault="004C5EBE" w:rsidP="004C5EBE">
      <w:pPr>
        <w:pStyle w:val="BodyText"/>
        <w:jc w:val="center"/>
        <w:rPr>
          <w:bCs/>
          <w:i/>
          <w:iCs/>
          <w:sz w:val="20"/>
          <w:szCs w:val="20"/>
        </w:rPr>
      </w:pPr>
      <w:bookmarkStart w:id="0" w:name="_Hlk177730814"/>
      <w:r>
        <w:rPr>
          <w:bCs/>
          <w:i/>
          <w:iCs/>
          <w:sz w:val="20"/>
          <w:szCs w:val="20"/>
        </w:rPr>
        <w:t xml:space="preserve">Interactive Original:  </w:t>
      </w:r>
      <w:hyperlink r:id="rId11" w:history="1">
        <w:r w:rsidRPr="007713D1">
          <w:rPr>
            <w:rStyle w:val="Hyperlink"/>
            <w:bCs/>
            <w:i/>
            <w:iCs/>
            <w:sz w:val="20"/>
            <w:szCs w:val="20"/>
          </w:rPr>
          <w:t>https://www.bls.gov/charts/state-employment-and-unemployment/change-in-nonfarm-employment-by-state-map.htm</w:t>
        </w:r>
      </w:hyperlink>
      <w:r>
        <w:rPr>
          <w:bCs/>
          <w:i/>
          <w:iCs/>
          <w:sz w:val="20"/>
          <w:szCs w:val="20"/>
        </w:rPr>
        <w:t xml:space="preserve"> </w:t>
      </w:r>
      <w:bookmarkEnd w:id="0"/>
    </w:p>
    <w:p w14:paraId="56E23CBD" w14:textId="77777777" w:rsidR="004C5EBE" w:rsidRPr="007004AA" w:rsidRDefault="004C5EBE" w:rsidP="004C5EBE">
      <w:pPr>
        <w:pStyle w:val="BodyText"/>
        <w:jc w:val="center"/>
        <w:rPr>
          <w:bCs/>
          <w:i/>
          <w:iCs/>
          <w:sz w:val="20"/>
          <w:szCs w:val="20"/>
        </w:rPr>
      </w:pPr>
    </w:p>
    <w:p w14:paraId="40410457" w14:textId="77777777" w:rsidR="004C5EBE" w:rsidRDefault="004C5EBE" w:rsidP="004C5EBE">
      <w:pPr>
        <w:jc w:val="center"/>
      </w:pPr>
    </w:p>
    <w:p w14:paraId="195043BE" w14:textId="76EFF861" w:rsidR="004C5EBE" w:rsidRDefault="004C5EBE" w:rsidP="004C5EBE">
      <w:r w:rsidRPr="008A2AA8">
        <w:t xml:space="preserve">California’s </w:t>
      </w:r>
      <w:r>
        <w:t>monthly job performance in November was the 5</w:t>
      </w:r>
      <w:r w:rsidRPr="00923BE0">
        <w:rPr>
          <w:vertAlign w:val="superscript"/>
        </w:rPr>
        <w:t>th</w:t>
      </w:r>
      <w:r>
        <w:t xml:space="preserve"> highest among the states and DC.  Jobs growth instead was led by Florida with </w:t>
      </w:r>
      <w:r w:rsidR="00FE11E3">
        <w:t>61,5</w:t>
      </w:r>
      <w:r>
        <w:t xml:space="preserve">00, Washington with </w:t>
      </w:r>
      <w:r w:rsidR="00FE11E3">
        <w:t>30,9</w:t>
      </w:r>
      <w:r>
        <w:t xml:space="preserve">00, and </w:t>
      </w:r>
      <w:r w:rsidR="00FE11E3">
        <w:t>North Carolina</w:t>
      </w:r>
      <w:r>
        <w:t xml:space="preserve"> with </w:t>
      </w:r>
      <w:r w:rsidR="00FE11E3">
        <w:t>15,0</w:t>
      </w:r>
      <w:r>
        <w:t>00.  The Texas number included some bounce-back from Hurricane Beryl.</w:t>
      </w:r>
      <w:r w:rsidR="00FE11E3">
        <w:t xml:space="preserve">  Again, these rankings reflect in part recovery from the previous </w:t>
      </w:r>
      <w:r w:rsidR="00D361D5">
        <w:t>month’s</w:t>
      </w:r>
      <w:r w:rsidR="00FE11E3">
        <w:t xml:space="preserve"> losses due to strikes and hurricane closures.</w:t>
      </w:r>
    </w:p>
    <w:p w14:paraId="37438419" w14:textId="77777777" w:rsidR="004C5EBE" w:rsidRDefault="004C5EBE" w:rsidP="004C5EBE"/>
    <w:p w14:paraId="342F9623" w14:textId="3FA3F916" w:rsidR="004C5EBE" w:rsidRDefault="004C5EBE" w:rsidP="004C5EBE">
      <w:r>
        <w:t xml:space="preserve">Compared to the pre-pandemic peak, California has now gained a net </w:t>
      </w:r>
      <w:r w:rsidR="00FE11E3">
        <w:t>438,900</w:t>
      </w:r>
      <w:r>
        <w:t xml:space="preserve"> nonfarm jobs, remaining in 3</w:t>
      </w:r>
      <w:r w:rsidRPr="009021C0">
        <w:rPr>
          <w:vertAlign w:val="superscript"/>
        </w:rPr>
        <w:t>rd</w:t>
      </w:r>
      <w:r>
        <w:t xml:space="preserve"> place just ahead of much smaller North Carolina.  </w:t>
      </w:r>
    </w:p>
    <w:p w14:paraId="209F9B80" w14:textId="77777777" w:rsidR="004C5EBE" w:rsidRDefault="004C5EBE" w:rsidP="004C5EBE"/>
    <w:p w14:paraId="261D4EB9" w14:textId="2DC356D0" w:rsidR="004C5EBE" w:rsidRDefault="00FE11E3" w:rsidP="004C5EBE">
      <w:pPr>
        <w:jc w:val="center"/>
      </w:pPr>
      <w:r w:rsidRPr="00FE11E3">
        <w:rPr>
          <w:noProof/>
        </w:rPr>
        <w:drawing>
          <wp:inline distT="0" distB="0" distL="0" distR="0" wp14:anchorId="7A3B6DA4" wp14:editId="699FAD2C">
            <wp:extent cx="3164205" cy="1183640"/>
            <wp:effectExtent l="0" t="0" r="0" b="0"/>
            <wp:docPr id="7480758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4205" cy="1183640"/>
                    </a:xfrm>
                    <a:prstGeom prst="rect">
                      <a:avLst/>
                    </a:prstGeom>
                    <a:noFill/>
                    <a:ln>
                      <a:noFill/>
                    </a:ln>
                  </pic:spPr>
                </pic:pic>
              </a:graphicData>
            </a:graphic>
          </wp:inline>
        </w:drawing>
      </w:r>
    </w:p>
    <w:p w14:paraId="4D61E526" w14:textId="77777777" w:rsidR="004C5EBE" w:rsidRDefault="004C5EBE" w:rsidP="004C5EBE"/>
    <w:p w14:paraId="3FA0C9C2" w14:textId="5FF0A4D8" w:rsidR="004C5EBE" w:rsidRDefault="004C5EBE" w:rsidP="004C5EBE">
      <w:r>
        <w:t xml:space="preserve">Adjusted for size, </w:t>
      </w:r>
      <w:r w:rsidR="00FE11E3">
        <w:t>California notched down to 32</w:t>
      </w:r>
      <w:r w:rsidR="00FE11E3" w:rsidRPr="00FE11E3">
        <w:rPr>
          <w:vertAlign w:val="superscript"/>
        </w:rPr>
        <w:t>nd</w:t>
      </w:r>
      <w:r w:rsidR="00FE11E3">
        <w:t xml:space="preserve"> </w:t>
      </w:r>
      <w:r>
        <w:t xml:space="preserve">highest, still below the US average.  Only </w:t>
      </w:r>
      <w:r w:rsidR="00D361D5">
        <w:t>5</w:t>
      </w:r>
      <w:r>
        <w:t xml:space="preserve"> states and DC remain below their pre-pandemic peaks.</w:t>
      </w:r>
    </w:p>
    <w:p w14:paraId="1668E0FC" w14:textId="77777777" w:rsidR="004C5EBE" w:rsidRDefault="004C5EBE" w:rsidP="004C5EBE">
      <w:pPr>
        <w:jc w:val="center"/>
        <w:rPr>
          <w:b/>
          <w:bCs/>
          <w:sz w:val="28"/>
          <w:szCs w:val="28"/>
        </w:rPr>
      </w:pPr>
    </w:p>
    <w:p w14:paraId="508BDE4A" w14:textId="77777777" w:rsidR="004C5EBE" w:rsidRDefault="004C5EBE" w:rsidP="004C5EBE">
      <w:pPr>
        <w:jc w:val="center"/>
        <w:rPr>
          <w:b/>
          <w:bCs/>
          <w:sz w:val="28"/>
          <w:szCs w:val="28"/>
        </w:rPr>
      </w:pPr>
    </w:p>
    <w:p w14:paraId="20DBA64F" w14:textId="5DB9FE90" w:rsidR="004C5EBE" w:rsidRDefault="00FE11E3" w:rsidP="004C5EBE">
      <w:pPr>
        <w:jc w:val="center"/>
        <w:rPr>
          <w:b/>
          <w:bCs/>
          <w:sz w:val="28"/>
          <w:szCs w:val="28"/>
        </w:rPr>
      </w:pPr>
      <w:r>
        <w:rPr>
          <w:b/>
          <w:bCs/>
          <w:noProof/>
          <w:sz w:val="28"/>
          <w:szCs w:val="28"/>
        </w:rPr>
        <w:lastRenderedPageBreak/>
        <w:drawing>
          <wp:inline distT="0" distB="0" distL="0" distR="0" wp14:anchorId="37102074" wp14:editId="509AD104">
            <wp:extent cx="4486881" cy="5811769"/>
            <wp:effectExtent l="0" t="0" r="9525" b="0"/>
            <wp:docPr id="1465081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5375" cy="5822771"/>
                    </a:xfrm>
                    <a:prstGeom prst="rect">
                      <a:avLst/>
                    </a:prstGeom>
                    <a:noFill/>
                  </pic:spPr>
                </pic:pic>
              </a:graphicData>
            </a:graphic>
          </wp:inline>
        </w:drawing>
      </w:r>
    </w:p>
    <w:p w14:paraId="2587EDFB" w14:textId="77777777" w:rsidR="004C5EBE" w:rsidRDefault="004C5EBE" w:rsidP="004C5EBE">
      <w:pPr>
        <w:rPr>
          <w:b/>
          <w:sz w:val="28"/>
        </w:rPr>
      </w:pPr>
    </w:p>
    <w:p w14:paraId="16E60DF9" w14:textId="648B1148" w:rsidR="00CF42EE" w:rsidRDefault="00E2746C" w:rsidP="00E2746C">
      <w:pPr>
        <w:rPr>
          <w:b/>
          <w:bCs/>
          <w:sz w:val="28"/>
          <w:szCs w:val="28"/>
        </w:rPr>
      </w:pPr>
      <w:r>
        <w:rPr>
          <w:b/>
          <w:bCs/>
          <w:sz w:val="28"/>
          <w:szCs w:val="28"/>
        </w:rPr>
        <w:t>QCEW Job Counts—2024 Q2 Results</w:t>
      </w:r>
    </w:p>
    <w:p w14:paraId="38FBD0C9" w14:textId="08E73BFF" w:rsidR="00E2746C" w:rsidRPr="00E2746C" w:rsidRDefault="00E2746C" w:rsidP="00E2746C">
      <w:pPr>
        <w:rPr>
          <w:i/>
          <w:iCs/>
        </w:rPr>
      </w:pPr>
    </w:p>
    <w:p w14:paraId="3EEE559B" w14:textId="40904E15" w:rsidR="00E2746C" w:rsidRDefault="00E2746C" w:rsidP="00E2746C">
      <w:r>
        <w:t xml:space="preserve">As we have discussed in the past, the monthly job numbers issued by EDD and BLS are estimates based on surveys and modeling.  </w:t>
      </w:r>
      <w:r w:rsidR="000A269C">
        <w:t>The</w:t>
      </w:r>
      <w:r>
        <w:t xml:space="preserve"> preliminary number</w:t>
      </w:r>
      <w:r w:rsidR="000A269C">
        <w:t>s</w:t>
      </w:r>
      <w:r>
        <w:t xml:space="preserve"> released each month </w:t>
      </w:r>
      <w:r w:rsidR="000A269C">
        <w:t>are</w:t>
      </w:r>
      <w:r>
        <w:t xml:space="preserve"> then revised in the subsequent month’s release, and all numbers are further revised each year based on the actual job counts contained in the Quarterly Census of Employment &amp; Wages (QCEW).</w:t>
      </w:r>
    </w:p>
    <w:p w14:paraId="433E9D05" w14:textId="77777777" w:rsidR="00E2746C" w:rsidRDefault="00E2746C" w:rsidP="00E2746C"/>
    <w:p w14:paraId="1B270C7E" w14:textId="7CDCD62C" w:rsidR="00E2746C" w:rsidRDefault="00E2746C" w:rsidP="00E2746C">
      <w:r>
        <w:t xml:space="preserve">The </w:t>
      </w:r>
      <w:hyperlink r:id="rId14" w:history="1">
        <w:r w:rsidRPr="00E2746C">
          <w:rPr>
            <w:rStyle w:val="Hyperlink"/>
          </w:rPr>
          <w:t>Governor’s Office</w:t>
        </w:r>
      </w:hyperlink>
      <w:r>
        <w:t xml:space="preserve"> recently drew on the latest 2024 Q2 </w:t>
      </w:r>
      <w:r w:rsidR="000A269C">
        <w:t xml:space="preserve">QCEW </w:t>
      </w:r>
      <w:r>
        <w:t>numbers to make the claim that California created more than 523,000 private sector jobs between January 2022 and June 2024.  This result comes solely from cherry-picking the data and taking advantage of the fact that the QCEW data reports the raw numbers for each month and is not seasonally adjusted.  The data for California in fact shows high seasonal variations, with January typically the low point for each</w:t>
      </w:r>
      <w:r w:rsidR="00080C6E">
        <w:t xml:space="preserve"> year.  For example, the January 2022 private jobs number reflects a drop of 206,761 in holiday hirings </w:t>
      </w:r>
      <w:r w:rsidR="00A95261">
        <w:t>from</w:t>
      </w:r>
      <w:r w:rsidR="00080C6E">
        <w:t xml:space="preserve"> December, quickly followed by a seasonal addition of </w:t>
      </w:r>
      <w:r w:rsidR="00080C6E">
        <w:lastRenderedPageBreak/>
        <w:t xml:space="preserve">251,288 in February as employers resumed their annual cycles.  </w:t>
      </w:r>
      <w:r w:rsidR="00A95261">
        <w:t>Roughly half of the Governor’s number is simply one month’s worth of seasonal fluctuations.</w:t>
      </w:r>
    </w:p>
    <w:p w14:paraId="07B9E75E" w14:textId="77777777" w:rsidR="00080C6E" w:rsidRDefault="00080C6E" w:rsidP="00E2746C"/>
    <w:p w14:paraId="172BB051" w14:textId="67A63D16" w:rsidR="00080C6E" w:rsidRDefault="00080C6E" w:rsidP="00080C6E">
      <w:pPr>
        <w:jc w:val="center"/>
      </w:pPr>
      <w:r>
        <w:rPr>
          <w:noProof/>
        </w:rPr>
        <w:drawing>
          <wp:inline distT="0" distB="0" distL="0" distR="0" wp14:anchorId="5241ED8E" wp14:editId="71F475B8">
            <wp:extent cx="4440438" cy="2478637"/>
            <wp:effectExtent l="0" t="0" r="0" b="0"/>
            <wp:docPr id="9238960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2195" cy="2490781"/>
                    </a:xfrm>
                    <a:prstGeom prst="rect">
                      <a:avLst/>
                    </a:prstGeom>
                    <a:noFill/>
                  </pic:spPr>
                </pic:pic>
              </a:graphicData>
            </a:graphic>
          </wp:inline>
        </w:drawing>
      </w:r>
    </w:p>
    <w:p w14:paraId="679D98EA" w14:textId="77777777" w:rsidR="00080C6E" w:rsidRDefault="00080C6E" w:rsidP="00E2746C"/>
    <w:p w14:paraId="38CA31E7" w14:textId="2A3ECF45" w:rsidR="00080C6E" w:rsidRDefault="00080C6E" w:rsidP="00E2746C">
      <w:r>
        <w:t xml:space="preserve">In order to make accurate comparisons, analysts typically adjust how they treat unadjusted data </w:t>
      </w:r>
      <w:r w:rsidR="000A269C">
        <w:t>like</w:t>
      </w:r>
      <w:r>
        <w:t xml:space="preserve"> the QCEW through some means such as the seasonal adjustments applied in the monthly job numbers, a moving average, or by comparing the same period (month) in different years.</w:t>
      </w:r>
    </w:p>
    <w:p w14:paraId="5D932826" w14:textId="77777777" w:rsidR="00080C6E" w:rsidRDefault="00080C6E" w:rsidP="00E2746C"/>
    <w:p w14:paraId="2684D761" w14:textId="392D1665" w:rsidR="00080C6E" w:rsidRDefault="00080C6E" w:rsidP="00E2746C">
      <w:r>
        <w:t xml:space="preserve">Using the last method, a different but far more accurate picture emerges from the data.  Comparing each month to date in 2024 with the corresponding month in 2022, total private jobs </w:t>
      </w:r>
      <w:r w:rsidR="000A269C">
        <w:t xml:space="preserve">have been slowing throughout 2024, and </w:t>
      </w:r>
      <w:r>
        <w:t xml:space="preserve">by June </w:t>
      </w:r>
      <w:r w:rsidR="000A269C">
        <w:t>showed a growth of only</w:t>
      </w:r>
      <w:r>
        <w:t xml:space="preserve"> 31,121 over the two-year period.  </w:t>
      </w:r>
    </w:p>
    <w:p w14:paraId="1CAAF56C" w14:textId="77777777" w:rsidR="00080C6E" w:rsidRDefault="00080C6E" w:rsidP="00E2746C"/>
    <w:p w14:paraId="42CEE8F8" w14:textId="686C1442" w:rsidR="00080C6E" w:rsidRDefault="00080C6E" w:rsidP="00080C6E">
      <w:pPr>
        <w:jc w:val="center"/>
      </w:pPr>
      <w:r>
        <w:rPr>
          <w:noProof/>
        </w:rPr>
        <w:drawing>
          <wp:inline distT="0" distB="0" distL="0" distR="0" wp14:anchorId="376CF748" wp14:editId="45DAF300">
            <wp:extent cx="4423048" cy="2331484"/>
            <wp:effectExtent l="0" t="0" r="0" b="0"/>
            <wp:docPr id="6280464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6294" cy="2338466"/>
                    </a:xfrm>
                    <a:prstGeom prst="rect">
                      <a:avLst/>
                    </a:prstGeom>
                    <a:noFill/>
                  </pic:spPr>
                </pic:pic>
              </a:graphicData>
            </a:graphic>
          </wp:inline>
        </w:drawing>
      </w:r>
    </w:p>
    <w:p w14:paraId="4500C8BB" w14:textId="77777777" w:rsidR="00080C6E" w:rsidRDefault="00080C6E" w:rsidP="00E2746C"/>
    <w:p w14:paraId="0359E8FE" w14:textId="266D437E" w:rsidR="00080C6E" w:rsidRDefault="00E52DD9" w:rsidP="00E2746C">
      <w:r>
        <w:t>The composition of those private sector jobs is also significant.  Healthcare &amp; Social Assistance (NAICS 62)—largely as the result of government funding expansion</w:t>
      </w:r>
      <w:r w:rsidR="000A269C">
        <w:t>s</w:t>
      </w:r>
      <w:r>
        <w:t>—grew by 270,990 jobs</w:t>
      </w:r>
      <w:r w:rsidR="000A269C">
        <w:t xml:space="preserve"> as of June</w:t>
      </w:r>
      <w:r>
        <w:t>.  Of these, 117,406 were in Individual &amp; Family Services (NAICS 6241) largely composed of minimum wage, low hour In-Home Supported Services workers paid through state Medi-Cal.</w:t>
      </w:r>
    </w:p>
    <w:p w14:paraId="3B96F6D7" w14:textId="77777777" w:rsidR="00E52DD9" w:rsidRDefault="00E52DD9" w:rsidP="00E2746C"/>
    <w:p w14:paraId="737A7A3A" w14:textId="78757747" w:rsidR="00E52DD9" w:rsidRDefault="00E52DD9" w:rsidP="00E2746C">
      <w:r>
        <w:t>In contrast, jobs in all other private sector industries fell by 239,869.</w:t>
      </w:r>
    </w:p>
    <w:p w14:paraId="0761D8CE" w14:textId="77777777" w:rsidR="00E52DD9" w:rsidRDefault="00E52DD9" w:rsidP="00E2746C"/>
    <w:p w14:paraId="243675F7" w14:textId="4E55BE5B" w:rsidR="00E52DD9" w:rsidRDefault="00E52DD9" w:rsidP="00E2746C">
      <w:r>
        <w:lastRenderedPageBreak/>
        <w:t xml:space="preserve">The Governor’s release was correct in stating that “Private sector jobs are [the] backbone of California’s job growth,” but the reality is that those jobs have stalled and are now in decline.  Job growth instead has been coming solely from expansion of government jobs and government supported jobs in Healthcare &amp; Social Assistance.  As the essential revenue base shrinks along with the private jobs base supporting it, even that growth </w:t>
      </w:r>
      <w:r w:rsidR="000A269C">
        <w:t xml:space="preserve">comes into question.  </w:t>
      </w:r>
    </w:p>
    <w:p w14:paraId="7B5B08FC" w14:textId="77777777" w:rsidR="000A269C" w:rsidRDefault="000A269C" w:rsidP="00E2746C"/>
    <w:p w14:paraId="1D8263CE" w14:textId="16CD2863" w:rsidR="00AE624A" w:rsidRDefault="000A269C" w:rsidP="00E2746C">
      <w:r>
        <w:t xml:space="preserve">The Governor has tacitly admitted this situation through the release of his latest </w:t>
      </w:r>
      <w:hyperlink r:id="rId17" w:history="1">
        <w:r w:rsidRPr="000A269C">
          <w:rPr>
            <w:rStyle w:val="Hyperlink"/>
          </w:rPr>
          <w:t>jobs plan</w:t>
        </w:r>
      </w:hyperlink>
      <w:r>
        <w:t>.  A</w:t>
      </w:r>
      <w:r w:rsidR="00D57E51">
        <w:t xml:space="preserve"> more</w:t>
      </w:r>
      <w:r>
        <w:t xml:space="preserve"> </w:t>
      </w:r>
      <w:hyperlink r:id="rId18" w:history="1">
        <w:r w:rsidRPr="000A269C">
          <w:rPr>
            <w:rStyle w:val="Hyperlink"/>
          </w:rPr>
          <w:t>direct version</w:t>
        </w:r>
      </w:hyperlink>
      <w:r>
        <w:t xml:space="preserve"> addressing more the state-imposed constraints to private sector jobs growth instead comes from his term as Lieutenant Governor, highlighting the need for more fundamental changes including:  </w:t>
      </w:r>
    </w:p>
    <w:p w14:paraId="3FF2527F" w14:textId="77777777" w:rsidR="00AE624A" w:rsidRDefault="00AE624A" w:rsidP="00E2746C"/>
    <w:p w14:paraId="43DE52D6" w14:textId="579327EB" w:rsidR="007D1A01" w:rsidRDefault="00AE624A" w:rsidP="007D1A01">
      <w:pPr>
        <w:pStyle w:val="ListParagraph"/>
        <w:numPr>
          <w:ilvl w:val="0"/>
          <w:numId w:val="3"/>
        </w:numPr>
      </w:pPr>
      <w:r>
        <w:t>“</w:t>
      </w:r>
      <w:r w:rsidR="007D1A01" w:rsidRPr="007D1A01">
        <w:t>Tackle the issues of cost and</w:t>
      </w:r>
      <w:r w:rsidR="007D1A01">
        <w:t xml:space="preserve"> </w:t>
      </w:r>
      <w:r w:rsidR="007D1A01" w:rsidRPr="007D1A01">
        <w:t>regulation by streamlining, simplifying, and aligning</w:t>
      </w:r>
      <w:r w:rsidR="007D1A01">
        <w:t xml:space="preserve"> </w:t>
      </w:r>
      <w:r w:rsidR="007D1A01" w:rsidRPr="007D1A01">
        <w:t>California’s policies to improve its reputation and business</w:t>
      </w:r>
      <w:r w:rsidR="007D1A01">
        <w:t xml:space="preserve"> </w:t>
      </w:r>
      <w:r w:rsidR="007D1A01" w:rsidRPr="007D1A01">
        <w:t>climate</w:t>
      </w:r>
      <w:r w:rsidR="00D57E51">
        <w:t>,</w:t>
      </w:r>
      <w:r>
        <w:t>”</w:t>
      </w:r>
      <w:r w:rsidR="00593F3D">
        <w:t xml:space="preserve"> rather than the regulatory expansion that resulted by 2023 </w:t>
      </w:r>
      <w:r w:rsidR="007D1A01">
        <w:t xml:space="preserve">in </w:t>
      </w:r>
      <w:r w:rsidR="00593F3D">
        <w:t xml:space="preserve">a total of 420,434 </w:t>
      </w:r>
      <w:hyperlink r:id="rId19" w:history="1">
        <w:r w:rsidR="00593F3D" w:rsidRPr="007D1A01">
          <w:rPr>
            <w:rStyle w:val="Hyperlink"/>
          </w:rPr>
          <w:t>restrictions in state regulations</w:t>
        </w:r>
      </w:hyperlink>
      <w:r w:rsidR="00593F3D">
        <w:t xml:space="preserve">, compared to </w:t>
      </w:r>
      <w:r w:rsidRPr="00AE624A">
        <w:t>296</w:t>
      </w:r>
      <w:r>
        <w:t>,</w:t>
      </w:r>
      <w:r w:rsidRPr="00AE624A">
        <w:t>926</w:t>
      </w:r>
      <w:r>
        <w:t xml:space="preserve"> in the next highest state (New Jersey) and an average of only 132,094 in all other states;</w:t>
      </w:r>
    </w:p>
    <w:p w14:paraId="4F5FFB2C" w14:textId="77777777" w:rsidR="00AE624A" w:rsidRDefault="00AE624A" w:rsidP="00E2746C"/>
    <w:p w14:paraId="042283F4" w14:textId="2D0071E5" w:rsidR="007D1A01" w:rsidRDefault="00AE624A" w:rsidP="007D1A01">
      <w:pPr>
        <w:pStyle w:val="ListParagraph"/>
        <w:numPr>
          <w:ilvl w:val="0"/>
          <w:numId w:val="3"/>
        </w:numPr>
      </w:pPr>
      <w:r>
        <w:t xml:space="preserve">expansion of manufacturing, rather than the increasing cost environment that has seen manufacturing jobs drop by </w:t>
      </w:r>
      <w:r w:rsidR="007D1A01">
        <w:t>52,100 since their recent peak (seasonally adjusted) in July 2022.</w:t>
      </w:r>
    </w:p>
    <w:p w14:paraId="1A952D6B" w14:textId="77777777" w:rsidR="007D1A01" w:rsidRDefault="007D1A01" w:rsidP="00E2746C"/>
    <w:p w14:paraId="10765A5A" w14:textId="436F46ED" w:rsidR="007D1A01" w:rsidRDefault="007D1A01" w:rsidP="007D1A01">
      <w:pPr>
        <w:pStyle w:val="ListParagraph"/>
        <w:numPr>
          <w:ilvl w:val="0"/>
          <w:numId w:val="3"/>
        </w:numPr>
      </w:pPr>
      <w:r>
        <w:t>expansion of trade opportunities</w:t>
      </w:r>
      <w:r w:rsidR="00D57E51">
        <w:t>,</w:t>
      </w:r>
      <w:r>
        <w:t xml:space="preserve"> rather than the current spate of state and local restrictions raising the cost and limiting the use of the state’s ports;</w:t>
      </w:r>
    </w:p>
    <w:p w14:paraId="026F905D" w14:textId="77777777" w:rsidR="007D1A01" w:rsidRDefault="007D1A01" w:rsidP="007D1A01">
      <w:pPr>
        <w:pStyle w:val="ListParagraph"/>
      </w:pPr>
    </w:p>
    <w:p w14:paraId="2FF26DEB" w14:textId="1F00C2CC" w:rsidR="007D1A01" w:rsidRDefault="007D1A01" w:rsidP="007D1A01">
      <w:pPr>
        <w:pStyle w:val="ListParagraph"/>
        <w:numPr>
          <w:ilvl w:val="0"/>
          <w:numId w:val="3"/>
        </w:numPr>
      </w:pPr>
      <w:r>
        <w:t>“doubling down” on R&amp;D</w:t>
      </w:r>
      <w:r w:rsidR="00D57E51">
        <w:t>,</w:t>
      </w:r>
      <w:r>
        <w:t xml:space="preserve"> rather than last year’s action limiting the use of R&amp;D credits and raising the cost of these activities in the state;</w:t>
      </w:r>
    </w:p>
    <w:p w14:paraId="53E91744" w14:textId="77777777" w:rsidR="007D1A01" w:rsidRDefault="007D1A01" w:rsidP="007D1A01">
      <w:pPr>
        <w:pStyle w:val="ListParagraph"/>
      </w:pPr>
    </w:p>
    <w:p w14:paraId="4CD026EB" w14:textId="7B3DD7A2" w:rsidR="00AE624A" w:rsidRDefault="00A95261" w:rsidP="001E6397">
      <w:pPr>
        <w:pStyle w:val="ListParagraph"/>
        <w:numPr>
          <w:ilvl w:val="0"/>
          <w:numId w:val="3"/>
        </w:numPr>
      </w:pPr>
      <w:r>
        <w:t>“comprehensive federal and state tax reform that creates certainty for business and eliminates disincentives to domestic investment</w:t>
      </w:r>
      <w:r w:rsidR="00D57E51">
        <w:t>,</w:t>
      </w:r>
      <w:r>
        <w:t xml:space="preserve">” rather than recent actions that increased corporate income taxes by more than $6 billion, unemployment insurance taxes by more than $2 billion and growing over the coming years, and state payroll taxes by </w:t>
      </w:r>
      <w:r w:rsidR="002433D0">
        <w:t>$5 billion.</w:t>
      </w:r>
    </w:p>
    <w:p w14:paraId="38A9B4F1" w14:textId="77777777" w:rsidR="00080C6E" w:rsidRDefault="00080C6E" w:rsidP="00E2746C"/>
    <w:p w14:paraId="31AF4CE7" w14:textId="736CE1F5" w:rsidR="00D57E51" w:rsidRPr="00D57E51" w:rsidRDefault="00D57E51" w:rsidP="00E2746C">
      <w:pPr>
        <w:rPr>
          <w:b/>
          <w:bCs/>
          <w:sz w:val="28"/>
          <w:szCs w:val="28"/>
        </w:rPr>
      </w:pPr>
      <w:r>
        <w:rPr>
          <w:b/>
          <w:bCs/>
          <w:sz w:val="28"/>
          <w:szCs w:val="28"/>
        </w:rPr>
        <w:t>QCEW Job Counts—</w:t>
      </w:r>
      <w:r w:rsidR="009B6044">
        <w:rPr>
          <w:b/>
          <w:bCs/>
          <w:sz w:val="28"/>
          <w:szCs w:val="28"/>
        </w:rPr>
        <w:t>Monthly Job Estimates Likely to Be Lowered</w:t>
      </w:r>
    </w:p>
    <w:p w14:paraId="4D1866D8" w14:textId="77777777" w:rsidR="00D57E51" w:rsidRDefault="00D57E51" w:rsidP="00E2746C"/>
    <w:p w14:paraId="4FAD217D" w14:textId="6678AF87" w:rsidR="00D57E51" w:rsidRDefault="00D57E51" w:rsidP="00E2746C">
      <w:r>
        <w:t xml:space="preserve">The full counts from the QCEW have become even more important as the response rates have fallen steeply in the surveys used to produce the monthly job and labor force estimates.  As discussed in the past, the QCEW results and their likely effect on the annual revisions for each state </w:t>
      </w:r>
      <w:r w:rsidR="009B6044">
        <w:t>are</w:t>
      </w:r>
      <w:r>
        <w:t xml:space="preserve"> now tracked regularly by the </w:t>
      </w:r>
      <w:r w:rsidR="009A6C07" w:rsidRPr="009A6C07">
        <w:t> </w:t>
      </w:r>
      <w:hyperlink r:id="rId20" w:history="1">
        <w:r w:rsidR="009A6C07" w:rsidRPr="009A6C07">
          <w:rPr>
            <w:rStyle w:val="Hyperlink"/>
          </w:rPr>
          <w:t>Federal Reserve Bank of Philadelphia</w:t>
        </w:r>
      </w:hyperlink>
      <w:r w:rsidR="009A6C07">
        <w:t>.</w:t>
      </w:r>
    </w:p>
    <w:p w14:paraId="2FDC30AE" w14:textId="77777777" w:rsidR="009A6C07" w:rsidRDefault="009A6C07" w:rsidP="00E2746C"/>
    <w:p w14:paraId="31CF779D" w14:textId="2539EE96" w:rsidR="009A6C07" w:rsidRDefault="009A6C07" w:rsidP="00E2746C">
      <w:r>
        <w:t xml:space="preserve">Factoring in the 2024 Q2 results, these early benchmark numbers based on the QCEW </w:t>
      </w:r>
      <w:r w:rsidR="009B6044">
        <w:t>indicate that instead of growing by 79,800 (seasonally adjusted) between January and June, nonfarm jobs contracted by 156,400.  Expected changes in nonfarm numbers for the early benchmark period are shown in the chart.</w:t>
      </w:r>
      <w:r w:rsidR="00F717CF">
        <w:t xml:space="preserve">  Note that this number is substantially more than the preliminary revision expectations announced by US Bureau of Labor Statistics for March.  Divergence between the monthly modeled estimates and the QCEW counts has grown since then.</w:t>
      </w:r>
    </w:p>
    <w:p w14:paraId="3E300030" w14:textId="77777777" w:rsidR="009B6044" w:rsidRDefault="009B6044" w:rsidP="00E2746C"/>
    <w:p w14:paraId="2F1EAF8D" w14:textId="4217A55E" w:rsidR="009B6044" w:rsidRDefault="00F717CF" w:rsidP="00F717CF">
      <w:pPr>
        <w:jc w:val="center"/>
      </w:pPr>
      <w:r>
        <w:rPr>
          <w:noProof/>
        </w:rPr>
        <w:lastRenderedPageBreak/>
        <w:drawing>
          <wp:inline distT="0" distB="0" distL="0" distR="0" wp14:anchorId="365AFC7F" wp14:editId="1922099B">
            <wp:extent cx="4448374" cy="2219766"/>
            <wp:effectExtent l="0" t="0" r="0" b="9525"/>
            <wp:docPr id="6495246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62948" cy="2227038"/>
                    </a:xfrm>
                    <a:prstGeom prst="rect">
                      <a:avLst/>
                    </a:prstGeom>
                    <a:noFill/>
                  </pic:spPr>
                </pic:pic>
              </a:graphicData>
            </a:graphic>
          </wp:inline>
        </w:drawing>
      </w:r>
    </w:p>
    <w:p w14:paraId="2435FBB8" w14:textId="77777777" w:rsidR="00D57E51" w:rsidRPr="00E2746C" w:rsidRDefault="00D57E51" w:rsidP="00E2746C"/>
    <w:p w14:paraId="3AF0F808" w14:textId="77777777" w:rsidR="00CF42EE" w:rsidRDefault="00CF42EE" w:rsidP="00CF42EE">
      <w:pPr>
        <w:rPr>
          <w:b/>
          <w:sz w:val="28"/>
        </w:rPr>
      </w:pPr>
      <w:r>
        <w:rPr>
          <w:b/>
          <w:sz w:val="28"/>
        </w:rPr>
        <w:t>Nonfarm Jobs by Region</w:t>
      </w:r>
    </w:p>
    <w:p w14:paraId="496827E4" w14:textId="77777777" w:rsidR="00CF42EE" w:rsidRDefault="00CF42EE" w:rsidP="00CF42EE">
      <w:pPr>
        <w:rPr>
          <w:b/>
          <w:sz w:val="28"/>
        </w:rPr>
      </w:pPr>
    </w:p>
    <w:p w14:paraId="3BCF3FA1" w14:textId="649A05A5" w:rsidR="00CF42EE" w:rsidRDefault="00CF42EE" w:rsidP="00CF42EE">
      <w:r>
        <w:t xml:space="preserve">By region, job gains were concentrated in </w:t>
      </w:r>
      <w:r w:rsidR="009C19C2">
        <w:t>the Inland Empire, Bay Area, and Orange County.  Compared to pre-pandemic levels, the interior regions and San Diego/imperial continued to show the strongest gains, while the Bay Area continued to post the largest shortfall.</w:t>
      </w:r>
    </w:p>
    <w:p w14:paraId="18C8C940" w14:textId="77777777" w:rsidR="00CF42EE" w:rsidRDefault="00CF42EE" w:rsidP="00CF42EE"/>
    <w:p w14:paraId="69DD53D8" w14:textId="77777777" w:rsidR="00CF42EE" w:rsidRDefault="00CF42EE" w:rsidP="00CF42EE"/>
    <w:tbl>
      <w:tblPr>
        <w:tblW w:w="6306" w:type="dxa"/>
        <w:jc w:val="center"/>
        <w:tblLook w:val="04A0" w:firstRow="1" w:lastRow="0" w:firstColumn="1" w:lastColumn="0" w:noHBand="0" w:noVBand="1"/>
      </w:tblPr>
      <w:tblGrid>
        <w:gridCol w:w="1570"/>
        <w:gridCol w:w="2162"/>
        <w:gridCol w:w="2574"/>
      </w:tblGrid>
      <w:tr w:rsidR="00CF42EE" w:rsidRPr="003F74A1" w14:paraId="275B37E7" w14:textId="77777777" w:rsidTr="00F02E8D">
        <w:trPr>
          <w:trHeight w:val="290"/>
          <w:jc w:val="center"/>
        </w:trPr>
        <w:tc>
          <w:tcPr>
            <w:tcW w:w="6306" w:type="dxa"/>
            <w:gridSpan w:val="3"/>
            <w:tcBorders>
              <w:top w:val="nil"/>
              <w:left w:val="nil"/>
              <w:bottom w:val="nil"/>
              <w:right w:val="nil"/>
            </w:tcBorders>
            <w:shd w:val="clear" w:color="auto" w:fill="auto"/>
            <w:noWrap/>
            <w:vAlign w:val="bottom"/>
            <w:hideMark/>
          </w:tcPr>
          <w:p w14:paraId="6AE67D20" w14:textId="77777777" w:rsidR="00CF42EE" w:rsidRPr="003F74A1" w:rsidRDefault="00CF42EE" w:rsidP="00F02E8D">
            <w:pPr>
              <w:widowControl/>
              <w:autoSpaceDE/>
              <w:autoSpaceDN/>
              <w:rPr>
                <w:rFonts w:eastAsia="Times New Roman"/>
                <w:b/>
                <w:bCs/>
                <w:color w:val="000000"/>
                <w:sz w:val="20"/>
                <w:szCs w:val="20"/>
              </w:rPr>
            </w:pPr>
            <w:r>
              <w:rPr>
                <w:rFonts w:eastAsia="Times New Roman"/>
                <w:b/>
                <w:bCs/>
                <w:color w:val="000000"/>
                <w:sz w:val="20"/>
                <w:szCs w:val="20"/>
              </w:rPr>
              <w:t>Nonfarm Jobs</w:t>
            </w:r>
            <w:r w:rsidRPr="003F74A1">
              <w:rPr>
                <w:rFonts w:eastAsia="Times New Roman"/>
                <w:b/>
                <w:bCs/>
                <w:color w:val="000000"/>
                <w:sz w:val="20"/>
                <w:szCs w:val="20"/>
              </w:rPr>
              <w:t xml:space="preserve"> by Region</w:t>
            </w:r>
          </w:p>
        </w:tc>
      </w:tr>
      <w:tr w:rsidR="00CF42EE" w:rsidRPr="003F74A1" w14:paraId="49E480D8" w14:textId="77777777" w:rsidTr="00F02E8D">
        <w:trPr>
          <w:trHeight w:val="230"/>
          <w:jc w:val="center"/>
        </w:trPr>
        <w:tc>
          <w:tcPr>
            <w:tcW w:w="6306" w:type="dxa"/>
            <w:gridSpan w:val="3"/>
            <w:tcBorders>
              <w:top w:val="nil"/>
              <w:left w:val="nil"/>
              <w:bottom w:val="nil"/>
              <w:right w:val="nil"/>
            </w:tcBorders>
            <w:shd w:val="clear" w:color="auto" w:fill="auto"/>
            <w:noWrap/>
            <w:vAlign w:val="bottom"/>
            <w:hideMark/>
          </w:tcPr>
          <w:p w14:paraId="717C5562" w14:textId="77777777" w:rsidR="00CF42EE" w:rsidRPr="003F74A1" w:rsidRDefault="00CF42EE" w:rsidP="00F02E8D">
            <w:pPr>
              <w:widowControl/>
              <w:autoSpaceDE/>
              <w:autoSpaceDN/>
              <w:rPr>
                <w:rFonts w:eastAsia="Times New Roman"/>
                <w:i/>
                <w:iCs/>
                <w:color w:val="000000"/>
                <w:sz w:val="16"/>
                <w:szCs w:val="16"/>
              </w:rPr>
            </w:pPr>
            <w:r w:rsidRPr="003F74A1">
              <w:rPr>
                <w:rFonts w:eastAsia="Times New Roman"/>
                <w:i/>
                <w:iCs/>
                <w:color w:val="000000"/>
                <w:sz w:val="16"/>
                <w:szCs w:val="16"/>
              </w:rPr>
              <w:t>Source:  EDD, seasonally adjusted</w:t>
            </w:r>
          </w:p>
        </w:tc>
      </w:tr>
      <w:tr w:rsidR="00CF42EE" w:rsidRPr="003F74A1" w14:paraId="6853F9A5" w14:textId="77777777" w:rsidTr="00F02E8D">
        <w:trPr>
          <w:trHeight w:val="53"/>
          <w:jc w:val="center"/>
        </w:trPr>
        <w:tc>
          <w:tcPr>
            <w:tcW w:w="6306" w:type="dxa"/>
            <w:gridSpan w:val="3"/>
            <w:tcBorders>
              <w:top w:val="nil"/>
              <w:left w:val="nil"/>
              <w:bottom w:val="single" w:sz="8" w:space="0" w:color="auto"/>
              <w:right w:val="nil"/>
            </w:tcBorders>
            <w:shd w:val="clear" w:color="auto" w:fill="auto"/>
            <w:noWrap/>
            <w:vAlign w:val="bottom"/>
            <w:hideMark/>
          </w:tcPr>
          <w:p w14:paraId="5E2FBC34" w14:textId="77777777" w:rsidR="00CF42EE" w:rsidRPr="003F74A1" w:rsidRDefault="00CF42EE" w:rsidP="00F02E8D">
            <w:pPr>
              <w:widowControl/>
              <w:autoSpaceDE/>
              <w:autoSpaceDN/>
              <w:jc w:val="center"/>
              <w:rPr>
                <w:rFonts w:eastAsia="Times New Roman"/>
                <w:i/>
                <w:iCs/>
                <w:color w:val="000000"/>
                <w:sz w:val="10"/>
                <w:szCs w:val="10"/>
              </w:rPr>
            </w:pPr>
            <w:r w:rsidRPr="003F74A1">
              <w:rPr>
                <w:rFonts w:eastAsia="Times New Roman"/>
                <w:i/>
                <w:iCs/>
                <w:color w:val="000000"/>
                <w:sz w:val="10"/>
                <w:szCs w:val="10"/>
              </w:rPr>
              <w:t> </w:t>
            </w:r>
          </w:p>
        </w:tc>
      </w:tr>
      <w:tr w:rsidR="009C19C2" w:rsidRPr="003F74A1" w14:paraId="245B3147" w14:textId="77777777" w:rsidTr="00F02E8D">
        <w:trPr>
          <w:trHeight w:val="300"/>
          <w:jc w:val="center"/>
        </w:trPr>
        <w:tc>
          <w:tcPr>
            <w:tcW w:w="1570" w:type="dxa"/>
            <w:tcBorders>
              <w:top w:val="nil"/>
              <w:left w:val="nil"/>
              <w:bottom w:val="nil"/>
              <w:right w:val="nil"/>
            </w:tcBorders>
            <w:shd w:val="clear" w:color="auto" w:fill="auto"/>
            <w:noWrap/>
            <w:vAlign w:val="bottom"/>
            <w:hideMark/>
          </w:tcPr>
          <w:p w14:paraId="789D1836" w14:textId="77777777" w:rsidR="009C19C2" w:rsidRPr="003F74A1" w:rsidRDefault="009C19C2" w:rsidP="009C19C2">
            <w:pPr>
              <w:widowControl/>
              <w:autoSpaceDE/>
              <w:autoSpaceDN/>
              <w:jc w:val="center"/>
              <w:rPr>
                <w:rFonts w:eastAsia="Times New Roman"/>
                <w:i/>
                <w:iCs/>
                <w:color w:val="000000"/>
                <w:sz w:val="10"/>
                <w:szCs w:val="10"/>
              </w:rPr>
            </w:pPr>
          </w:p>
        </w:tc>
        <w:tc>
          <w:tcPr>
            <w:tcW w:w="2162" w:type="dxa"/>
            <w:tcBorders>
              <w:top w:val="nil"/>
              <w:left w:val="nil"/>
              <w:bottom w:val="single" w:sz="8" w:space="0" w:color="auto"/>
              <w:right w:val="nil"/>
            </w:tcBorders>
            <w:shd w:val="clear" w:color="auto" w:fill="auto"/>
            <w:noWrap/>
            <w:vAlign w:val="bottom"/>
            <w:hideMark/>
          </w:tcPr>
          <w:p w14:paraId="3DB6D7B0" w14:textId="41B49644" w:rsidR="009C19C2" w:rsidRPr="003F74A1" w:rsidRDefault="009C19C2" w:rsidP="009C19C2">
            <w:pPr>
              <w:widowControl/>
              <w:autoSpaceDE/>
              <w:autoSpaceDN/>
              <w:jc w:val="right"/>
              <w:rPr>
                <w:rFonts w:eastAsia="Times New Roman"/>
                <w:b/>
                <w:bCs/>
                <w:color w:val="000000"/>
                <w:sz w:val="20"/>
                <w:szCs w:val="20"/>
              </w:rPr>
            </w:pPr>
            <w:r>
              <w:rPr>
                <w:b/>
                <w:bCs/>
                <w:color w:val="000000"/>
                <w:sz w:val="16"/>
                <w:szCs w:val="16"/>
              </w:rPr>
              <w:t>Change from October 2024</w:t>
            </w:r>
          </w:p>
        </w:tc>
        <w:tc>
          <w:tcPr>
            <w:tcW w:w="2574" w:type="dxa"/>
            <w:tcBorders>
              <w:top w:val="nil"/>
              <w:left w:val="nil"/>
              <w:bottom w:val="single" w:sz="8" w:space="0" w:color="auto"/>
              <w:right w:val="nil"/>
            </w:tcBorders>
            <w:shd w:val="clear" w:color="auto" w:fill="auto"/>
            <w:noWrap/>
            <w:vAlign w:val="bottom"/>
            <w:hideMark/>
          </w:tcPr>
          <w:p w14:paraId="2A7D4F62" w14:textId="2EB56E80" w:rsidR="009C19C2" w:rsidRPr="003F74A1" w:rsidRDefault="009C19C2" w:rsidP="009C19C2">
            <w:pPr>
              <w:widowControl/>
              <w:autoSpaceDE/>
              <w:autoSpaceDN/>
              <w:jc w:val="right"/>
              <w:rPr>
                <w:rFonts w:eastAsia="Times New Roman"/>
                <w:b/>
                <w:bCs/>
                <w:color w:val="000000"/>
                <w:sz w:val="20"/>
                <w:szCs w:val="20"/>
              </w:rPr>
            </w:pPr>
            <w:r>
              <w:rPr>
                <w:b/>
                <w:bCs/>
                <w:color w:val="000000"/>
                <w:sz w:val="16"/>
                <w:szCs w:val="16"/>
              </w:rPr>
              <w:t>Change from February 2020</w:t>
            </w:r>
          </w:p>
        </w:tc>
      </w:tr>
      <w:tr w:rsidR="009C19C2" w:rsidRPr="003F74A1" w14:paraId="0724C3FA" w14:textId="77777777" w:rsidTr="00F02E8D">
        <w:trPr>
          <w:trHeight w:val="290"/>
          <w:jc w:val="center"/>
        </w:trPr>
        <w:tc>
          <w:tcPr>
            <w:tcW w:w="1570" w:type="dxa"/>
            <w:tcBorders>
              <w:top w:val="nil"/>
              <w:left w:val="nil"/>
              <w:bottom w:val="nil"/>
              <w:right w:val="nil"/>
            </w:tcBorders>
            <w:shd w:val="clear" w:color="auto" w:fill="auto"/>
            <w:noWrap/>
            <w:vAlign w:val="center"/>
            <w:hideMark/>
          </w:tcPr>
          <w:p w14:paraId="597E3FFE" w14:textId="66B02B9F" w:rsidR="009C19C2" w:rsidRPr="003F74A1" w:rsidRDefault="009C19C2" w:rsidP="009C19C2">
            <w:pPr>
              <w:widowControl/>
              <w:autoSpaceDE/>
              <w:autoSpaceDN/>
              <w:rPr>
                <w:rFonts w:eastAsia="Times New Roman"/>
                <w:color w:val="000000"/>
                <w:sz w:val="20"/>
                <w:szCs w:val="20"/>
              </w:rPr>
            </w:pPr>
            <w:r>
              <w:rPr>
                <w:color w:val="000000"/>
                <w:sz w:val="20"/>
                <w:szCs w:val="20"/>
              </w:rPr>
              <w:t>Inland Empire</w:t>
            </w:r>
          </w:p>
        </w:tc>
        <w:tc>
          <w:tcPr>
            <w:tcW w:w="2162" w:type="dxa"/>
            <w:tcBorders>
              <w:top w:val="nil"/>
              <w:left w:val="nil"/>
              <w:bottom w:val="nil"/>
              <w:right w:val="nil"/>
            </w:tcBorders>
            <w:shd w:val="clear" w:color="auto" w:fill="auto"/>
            <w:noWrap/>
            <w:vAlign w:val="center"/>
            <w:hideMark/>
          </w:tcPr>
          <w:p w14:paraId="5B69CCE3" w14:textId="318E268B" w:rsidR="009C19C2" w:rsidRPr="003F74A1" w:rsidRDefault="009C19C2" w:rsidP="009C19C2">
            <w:pPr>
              <w:widowControl/>
              <w:autoSpaceDE/>
              <w:autoSpaceDN/>
              <w:jc w:val="right"/>
              <w:rPr>
                <w:rFonts w:eastAsia="Times New Roman"/>
                <w:color w:val="000000"/>
                <w:sz w:val="20"/>
                <w:szCs w:val="20"/>
              </w:rPr>
            </w:pPr>
            <w:r>
              <w:rPr>
                <w:color w:val="000000"/>
                <w:sz w:val="20"/>
                <w:szCs w:val="20"/>
              </w:rPr>
              <w:t>3,700</w:t>
            </w:r>
          </w:p>
        </w:tc>
        <w:tc>
          <w:tcPr>
            <w:tcW w:w="2574" w:type="dxa"/>
            <w:tcBorders>
              <w:top w:val="nil"/>
              <w:left w:val="nil"/>
              <w:bottom w:val="nil"/>
              <w:right w:val="nil"/>
            </w:tcBorders>
            <w:shd w:val="clear" w:color="auto" w:fill="auto"/>
            <w:noWrap/>
            <w:vAlign w:val="center"/>
            <w:hideMark/>
          </w:tcPr>
          <w:p w14:paraId="04E60399" w14:textId="297DB04E" w:rsidR="009C19C2" w:rsidRPr="003F74A1" w:rsidRDefault="009C19C2" w:rsidP="009C19C2">
            <w:pPr>
              <w:widowControl/>
              <w:autoSpaceDE/>
              <w:autoSpaceDN/>
              <w:jc w:val="right"/>
              <w:rPr>
                <w:rFonts w:eastAsia="Times New Roman"/>
                <w:color w:val="000000"/>
                <w:sz w:val="20"/>
                <w:szCs w:val="20"/>
              </w:rPr>
            </w:pPr>
            <w:r>
              <w:rPr>
                <w:color w:val="000000"/>
                <w:sz w:val="20"/>
                <w:szCs w:val="20"/>
              </w:rPr>
              <w:t>126,100</w:t>
            </w:r>
          </w:p>
        </w:tc>
      </w:tr>
      <w:tr w:rsidR="009C19C2" w:rsidRPr="003F74A1" w14:paraId="4AA25F9D" w14:textId="77777777" w:rsidTr="00F02E8D">
        <w:trPr>
          <w:trHeight w:val="290"/>
          <w:jc w:val="center"/>
        </w:trPr>
        <w:tc>
          <w:tcPr>
            <w:tcW w:w="1570" w:type="dxa"/>
            <w:tcBorders>
              <w:top w:val="nil"/>
              <w:left w:val="nil"/>
              <w:bottom w:val="nil"/>
              <w:right w:val="nil"/>
            </w:tcBorders>
            <w:shd w:val="clear" w:color="auto" w:fill="auto"/>
            <w:noWrap/>
            <w:vAlign w:val="center"/>
            <w:hideMark/>
          </w:tcPr>
          <w:p w14:paraId="287EF48F" w14:textId="44C89127" w:rsidR="009C19C2" w:rsidRPr="003F74A1" w:rsidRDefault="009C19C2" w:rsidP="009C19C2">
            <w:pPr>
              <w:widowControl/>
              <w:autoSpaceDE/>
              <w:autoSpaceDN/>
              <w:rPr>
                <w:rFonts w:eastAsia="Times New Roman"/>
                <w:color w:val="000000"/>
                <w:sz w:val="20"/>
                <w:szCs w:val="20"/>
              </w:rPr>
            </w:pPr>
            <w:r>
              <w:rPr>
                <w:color w:val="000000"/>
                <w:sz w:val="20"/>
                <w:szCs w:val="20"/>
              </w:rPr>
              <w:t>Bay Area</w:t>
            </w:r>
          </w:p>
        </w:tc>
        <w:tc>
          <w:tcPr>
            <w:tcW w:w="2162" w:type="dxa"/>
            <w:tcBorders>
              <w:top w:val="nil"/>
              <w:left w:val="nil"/>
              <w:bottom w:val="nil"/>
              <w:right w:val="nil"/>
            </w:tcBorders>
            <w:shd w:val="clear" w:color="auto" w:fill="auto"/>
            <w:noWrap/>
            <w:vAlign w:val="center"/>
            <w:hideMark/>
          </w:tcPr>
          <w:p w14:paraId="2978E845" w14:textId="783E1EC1" w:rsidR="009C19C2" w:rsidRPr="003F74A1" w:rsidRDefault="009C19C2" w:rsidP="009C19C2">
            <w:pPr>
              <w:widowControl/>
              <w:autoSpaceDE/>
              <w:autoSpaceDN/>
              <w:jc w:val="right"/>
              <w:rPr>
                <w:rFonts w:eastAsia="Times New Roman"/>
                <w:color w:val="000000"/>
                <w:sz w:val="20"/>
                <w:szCs w:val="20"/>
              </w:rPr>
            </w:pPr>
            <w:r>
              <w:rPr>
                <w:color w:val="000000"/>
                <w:sz w:val="20"/>
                <w:szCs w:val="20"/>
              </w:rPr>
              <w:t>3,000</w:t>
            </w:r>
          </w:p>
        </w:tc>
        <w:tc>
          <w:tcPr>
            <w:tcW w:w="2574" w:type="dxa"/>
            <w:tcBorders>
              <w:top w:val="nil"/>
              <w:left w:val="nil"/>
              <w:bottom w:val="nil"/>
              <w:right w:val="nil"/>
            </w:tcBorders>
            <w:shd w:val="clear" w:color="auto" w:fill="auto"/>
            <w:noWrap/>
            <w:vAlign w:val="center"/>
            <w:hideMark/>
          </w:tcPr>
          <w:p w14:paraId="1E735C23" w14:textId="55AC88C3" w:rsidR="009C19C2" w:rsidRPr="003F74A1" w:rsidRDefault="009C19C2" w:rsidP="009C19C2">
            <w:pPr>
              <w:widowControl/>
              <w:autoSpaceDE/>
              <w:autoSpaceDN/>
              <w:jc w:val="right"/>
              <w:rPr>
                <w:rFonts w:eastAsia="Times New Roman"/>
                <w:color w:val="000000"/>
                <w:sz w:val="20"/>
                <w:szCs w:val="20"/>
              </w:rPr>
            </w:pPr>
            <w:r>
              <w:rPr>
                <w:color w:val="000000"/>
                <w:sz w:val="20"/>
                <w:szCs w:val="20"/>
              </w:rPr>
              <w:t>-44,600</w:t>
            </w:r>
          </w:p>
        </w:tc>
      </w:tr>
      <w:tr w:rsidR="009C19C2" w:rsidRPr="003F74A1" w14:paraId="5758E7B6" w14:textId="77777777" w:rsidTr="00F02E8D">
        <w:trPr>
          <w:trHeight w:val="290"/>
          <w:jc w:val="center"/>
        </w:trPr>
        <w:tc>
          <w:tcPr>
            <w:tcW w:w="1570" w:type="dxa"/>
            <w:tcBorders>
              <w:top w:val="nil"/>
              <w:left w:val="nil"/>
              <w:bottom w:val="nil"/>
              <w:right w:val="nil"/>
            </w:tcBorders>
            <w:shd w:val="clear" w:color="auto" w:fill="auto"/>
            <w:noWrap/>
            <w:vAlign w:val="center"/>
            <w:hideMark/>
          </w:tcPr>
          <w:p w14:paraId="523AED04" w14:textId="5405F8E1" w:rsidR="009C19C2" w:rsidRPr="003F74A1" w:rsidRDefault="009C19C2" w:rsidP="009C19C2">
            <w:pPr>
              <w:widowControl/>
              <w:autoSpaceDE/>
              <w:autoSpaceDN/>
              <w:rPr>
                <w:rFonts w:eastAsia="Times New Roman"/>
                <w:color w:val="000000"/>
                <w:sz w:val="20"/>
                <w:szCs w:val="20"/>
              </w:rPr>
            </w:pPr>
            <w:r>
              <w:rPr>
                <w:color w:val="000000"/>
                <w:sz w:val="20"/>
                <w:szCs w:val="20"/>
              </w:rPr>
              <w:t>Orange County</w:t>
            </w:r>
          </w:p>
        </w:tc>
        <w:tc>
          <w:tcPr>
            <w:tcW w:w="2162" w:type="dxa"/>
            <w:tcBorders>
              <w:top w:val="nil"/>
              <w:left w:val="nil"/>
              <w:bottom w:val="nil"/>
              <w:right w:val="nil"/>
            </w:tcBorders>
            <w:shd w:val="clear" w:color="auto" w:fill="auto"/>
            <w:noWrap/>
            <w:vAlign w:val="center"/>
            <w:hideMark/>
          </w:tcPr>
          <w:p w14:paraId="39A38A45" w14:textId="4CAEEC32" w:rsidR="009C19C2" w:rsidRPr="003F74A1" w:rsidRDefault="009C19C2" w:rsidP="009C19C2">
            <w:pPr>
              <w:widowControl/>
              <w:autoSpaceDE/>
              <w:autoSpaceDN/>
              <w:jc w:val="right"/>
              <w:rPr>
                <w:rFonts w:eastAsia="Times New Roman"/>
                <w:color w:val="000000"/>
                <w:sz w:val="20"/>
                <w:szCs w:val="20"/>
              </w:rPr>
            </w:pPr>
            <w:r>
              <w:rPr>
                <w:color w:val="000000"/>
                <w:sz w:val="20"/>
                <w:szCs w:val="20"/>
              </w:rPr>
              <w:t>2,500</w:t>
            </w:r>
          </w:p>
        </w:tc>
        <w:tc>
          <w:tcPr>
            <w:tcW w:w="2574" w:type="dxa"/>
            <w:tcBorders>
              <w:top w:val="nil"/>
              <w:left w:val="nil"/>
              <w:bottom w:val="nil"/>
              <w:right w:val="nil"/>
            </w:tcBorders>
            <w:shd w:val="clear" w:color="auto" w:fill="auto"/>
            <w:noWrap/>
            <w:vAlign w:val="center"/>
            <w:hideMark/>
          </w:tcPr>
          <w:p w14:paraId="51FC4E69" w14:textId="66925F53" w:rsidR="009C19C2" w:rsidRPr="003F74A1" w:rsidRDefault="009C19C2" w:rsidP="009C19C2">
            <w:pPr>
              <w:widowControl/>
              <w:autoSpaceDE/>
              <w:autoSpaceDN/>
              <w:jc w:val="right"/>
              <w:rPr>
                <w:rFonts w:eastAsia="Times New Roman"/>
                <w:color w:val="000000"/>
                <w:sz w:val="20"/>
                <w:szCs w:val="20"/>
              </w:rPr>
            </w:pPr>
            <w:r>
              <w:rPr>
                <w:color w:val="000000"/>
                <w:sz w:val="20"/>
                <w:szCs w:val="20"/>
              </w:rPr>
              <w:t>21,900</w:t>
            </w:r>
          </w:p>
        </w:tc>
      </w:tr>
      <w:tr w:rsidR="009C19C2" w:rsidRPr="003F74A1" w14:paraId="5A8F6766" w14:textId="77777777" w:rsidTr="00F02E8D">
        <w:trPr>
          <w:trHeight w:val="290"/>
          <w:jc w:val="center"/>
        </w:trPr>
        <w:tc>
          <w:tcPr>
            <w:tcW w:w="1570" w:type="dxa"/>
            <w:tcBorders>
              <w:top w:val="nil"/>
              <w:left w:val="nil"/>
              <w:bottom w:val="nil"/>
              <w:right w:val="nil"/>
            </w:tcBorders>
            <w:shd w:val="clear" w:color="auto" w:fill="auto"/>
            <w:noWrap/>
            <w:vAlign w:val="center"/>
            <w:hideMark/>
          </w:tcPr>
          <w:p w14:paraId="08BE1B98" w14:textId="2F16F4A3" w:rsidR="009C19C2" w:rsidRPr="003F74A1" w:rsidRDefault="009C19C2" w:rsidP="009C19C2">
            <w:pPr>
              <w:widowControl/>
              <w:autoSpaceDE/>
              <w:autoSpaceDN/>
              <w:rPr>
                <w:rFonts w:eastAsia="Times New Roman"/>
                <w:color w:val="000000"/>
                <w:sz w:val="20"/>
                <w:szCs w:val="20"/>
              </w:rPr>
            </w:pPr>
            <w:r>
              <w:rPr>
                <w:color w:val="000000"/>
                <w:sz w:val="20"/>
                <w:szCs w:val="20"/>
              </w:rPr>
              <w:t>Los Angeles</w:t>
            </w:r>
          </w:p>
        </w:tc>
        <w:tc>
          <w:tcPr>
            <w:tcW w:w="2162" w:type="dxa"/>
            <w:tcBorders>
              <w:top w:val="nil"/>
              <w:left w:val="nil"/>
              <w:bottom w:val="nil"/>
              <w:right w:val="nil"/>
            </w:tcBorders>
            <w:shd w:val="clear" w:color="auto" w:fill="auto"/>
            <w:noWrap/>
            <w:vAlign w:val="center"/>
            <w:hideMark/>
          </w:tcPr>
          <w:p w14:paraId="00354DF8" w14:textId="73033B28" w:rsidR="009C19C2" w:rsidRPr="003F74A1" w:rsidRDefault="009C19C2" w:rsidP="009C19C2">
            <w:pPr>
              <w:widowControl/>
              <w:autoSpaceDE/>
              <w:autoSpaceDN/>
              <w:jc w:val="right"/>
              <w:rPr>
                <w:rFonts w:eastAsia="Times New Roman"/>
                <w:color w:val="000000"/>
                <w:sz w:val="20"/>
                <w:szCs w:val="20"/>
              </w:rPr>
            </w:pPr>
            <w:r>
              <w:rPr>
                <w:color w:val="000000"/>
                <w:sz w:val="20"/>
                <w:szCs w:val="20"/>
              </w:rPr>
              <w:t>0</w:t>
            </w:r>
          </w:p>
        </w:tc>
        <w:tc>
          <w:tcPr>
            <w:tcW w:w="2574" w:type="dxa"/>
            <w:tcBorders>
              <w:top w:val="nil"/>
              <w:left w:val="nil"/>
              <w:bottom w:val="nil"/>
              <w:right w:val="nil"/>
            </w:tcBorders>
            <w:shd w:val="clear" w:color="auto" w:fill="auto"/>
            <w:noWrap/>
            <w:vAlign w:val="center"/>
            <w:hideMark/>
          </w:tcPr>
          <w:p w14:paraId="17FCDBF8" w14:textId="77FE157D" w:rsidR="009C19C2" w:rsidRPr="003F74A1" w:rsidRDefault="009C19C2" w:rsidP="009C19C2">
            <w:pPr>
              <w:widowControl/>
              <w:autoSpaceDE/>
              <w:autoSpaceDN/>
              <w:jc w:val="right"/>
              <w:rPr>
                <w:rFonts w:eastAsia="Times New Roman"/>
                <w:color w:val="000000"/>
                <w:sz w:val="20"/>
                <w:szCs w:val="20"/>
              </w:rPr>
            </w:pPr>
            <w:r>
              <w:rPr>
                <w:color w:val="000000"/>
                <w:sz w:val="20"/>
                <w:szCs w:val="20"/>
              </w:rPr>
              <w:t>-31,600</w:t>
            </w:r>
          </w:p>
        </w:tc>
      </w:tr>
      <w:tr w:rsidR="009C19C2" w:rsidRPr="003F74A1" w14:paraId="79FB50C8" w14:textId="77777777" w:rsidTr="00F02E8D">
        <w:trPr>
          <w:trHeight w:val="290"/>
          <w:jc w:val="center"/>
        </w:trPr>
        <w:tc>
          <w:tcPr>
            <w:tcW w:w="1570" w:type="dxa"/>
            <w:tcBorders>
              <w:top w:val="nil"/>
              <w:left w:val="nil"/>
              <w:bottom w:val="nil"/>
              <w:right w:val="nil"/>
            </w:tcBorders>
            <w:shd w:val="clear" w:color="auto" w:fill="auto"/>
            <w:noWrap/>
            <w:vAlign w:val="center"/>
            <w:hideMark/>
          </w:tcPr>
          <w:p w14:paraId="4A7EA600" w14:textId="21BD6CBF" w:rsidR="009C19C2" w:rsidRPr="003F74A1" w:rsidRDefault="009C19C2" w:rsidP="009C19C2">
            <w:pPr>
              <w:widowControl/>
              <w:autoSpaceDE/>
              <w:autoSpaceDN/>
              <w:rPr>
                <w:rFonts w:eastAsia="Times New Roman"/>
                <w:color w:val="000000"/>
                <w:sz w:val="20"/>
                <w:szCs w:val="20"/>
              </w:rPr>
            </w:pPr>
            <w:r>
              <w:rPr>
                <w:color w:val="000000"/>
                <w:sz w:val="20"/>
                <w:szCs w:val="20"/>
              </w:rPr>
              <w:t>Central Valley</w:t>
            </w:r>
          </w:p>
        </w:tc>
        <w:tc>
          <w:tcPr>
            <w:tcW w:w="2162" w:type="dxa"/>
            <w:tcBorders>
              <w:top w:val="nil"/>
              <w:left w:val="nil"/>
              <w:bottom w:val="nil"/>
              <w:right w:val="nil"/>
            </w:tcBorders>
            <w:shd w:val="clear" w:color="auto" w:fill="auto"/>
            <w:noWrap/>
            <w:vAlign w:val="center"/>
            <w:hideMark/>
          </w:tcPr>
          <w:p w14:paraId="77B33A45" w14:textId="0B056A15" w:rsidR="009C19C2" w:rsidRPr="003F74A1" w:rsidRDefault="009C19C2" w:rsidP="009C19C2">
            <w:pPr>
              <w:widowControl/>
              <w:autoSpaceDE/>
              <w:autoSpaceDN/>
              <w:jc w:val="right"/>
              <w:rPr>
                <w:rFonts w:eastAsia="Times New Roman"/>
                <w:color w:val="000000"/>
                <w:sz w:val="20"/>
                <w:szCs w:val="20"/>
              </w:rPr>
            </w:pPr>
            <w:r>
              <w:rPr>
                <w:color w:val="000000"/>
                <w:sz w:val="20"/>
                <w:szCs w:val="20"/>
              </w:rPr>
              <w:t>-800</w:t>
            </w:r>
          </w:p>
        </w:tc>
        <w:tc>
          <w:tcPr>
            <w:tcW w:w="2574" w:type="dxa"/>
            <w:tcBorders>
              <w:top w:val="nil"/>
              <w:left w:val="nil"/>
              <w:bottom w:val="nil"/>
              <w:right w:val="nil"/>
            </w:tcBorders>
            <w:shd w:val="clear" w:color="auto" w:fill="auto"/>
            <w:noWrap/>
            <w:vAlign w:val="center"/>
            <w:hideMark/>
          </w:tcPr>
          <w:p w14:paraId="31CF54F7" w14:textId="08009BAC" w:rsidR="009C19C2" w:rsidRPr="003F74A1" w:rsidRDefault="009C19C2" w:rsidP="009C19C2">
            <w:pPr>
              <w:widowControl/>
              <w:autoSpaceDE/>
              <w:autoSpaceDN/>
              <w:jc w:val="right"/>
              <w:rPr>
                <w:rFonts w:eastAsia="Times New Roman"/>
                <w:color w:val="000000"/>
                <w:sz w:val="20"/>
                <w:szCs w:val="20"/>
              </w:rPr>
            </w:pPr>
            <w:r>
              <w:rPr>
                <w:color w:val="000000"/>
                <w:sz w:val="20"/>
                <w:szCs w:val="20"/>
              </w:rPr>
              <w:t>119,300</w:t>
            </w:r>
          </w:p>
        </w:tc>
      </w:tr>
      <w:tr w:rsidR="009C19C2" w:rsidRPr="003F74A1" w14:paraId="15E11606" w14:textId="77777777" w:rsidTr="00F02E8D">
        <w:trPr>
          <w:trHeight w:val="290"/>
          <w:jc w:val="center"/>
        </w:trPr>
        <w:tc>
          <w:tcPr>
            <w:tcW w:w="1570" w:type="dxa"/>
            <w:tcBorders>
              <w:top w:val="nil"/>
              <w:left w:val="nil"/>
              <w:bottom w:val="nil"/>
              <w:right w:val="nil"/>
            </w:tcBorders>
            <w:shd w:val="clear" w:color="auto" w:fill="auto"/>
            <w:noWrap/>
            <w:vAlign w:val="center"/>
            <w:hideMark/>
          </w:tcPr>
          <w:p w14:paraId="39570CAE" w14:textId="0E2CD57E" w:rsidR="009C19C2" w:rsidRPr="003F74A1" w:rsidRDefault="009C19C2" w:rsidP="009C19C2">
            <w:pPr>
              <w:widowControl/>
              <w:autoSpaceDE/>
              <w:autoSpaceDN/>
              <w:rPr>
                <w:rFonts w:eastAsia="Times New Roman"/>
                <w:color w:val="000000"/>
                <w:sz w:val="20"/>
                <w:szCs w:val="20"/>
              </w:rPr>
            </w:pPr>
            <w:r>
              <w:rPr>
                <w:color w:val="000000"/>
                <w:sz w:val="20"/>
                <w:szCs w:val="20"/>
              </w:rPr>
              <w:t>Sacramento</w:t>
            </w:r>
          </w:p>
        </w:tc>
        <w:tc>
          <w:tcPr>
            <w:tcW w:w="2162" w:type="dxa"/>
            <w:tcBorders>
              <w:top w:val="nil"/>
              <w:left w:val="nil"/>
              <w:bottom w:val="nil"/>
              <w:right w:val="nil"/>
            </w:tcBorders>
            <w:shd w:val="clear" w:color="auto" w:fill="auto"/>
            <w:noWrap/>
            <w:vAlign w:val="center"/>
            <w:hideMark/>
          </w:tcPr>
          <w:p w14:paraId="5B8E4B26" w14:textId="49671AD6" w:rsidR="009C19C2" w:rsidRPr="003F74A1" w:rsidRDefault="009C19C2" w:rsidP="009C19C2">
            <w:pPr>
              <w:widowControl/>
              <w:autoSpaceDE/>
              <w:autoSpaceDN/>
              <w:jc w:val="right"/>
              <w:rPr>
                <w:rFonts w:eastAsia="Times New Roman"/>
                <w:color w:val="000000"/>
                <w:sz w:val="20"/>
                <w:szCs w:val="20"/>
              </w:rPr>
            </w:pPr>
            <w:r>
              <w:rPr>
                <w:color w:val="000000"/>
                <w:sz w:val="20"/>
                <w:szCs w:val="20"/>
              </w:rPr>
              <w:t>-900</w:t>
            </w:r>
          </w:p>
        </w:tc>
        <w:tc>
          <w:tcPr>
            <w:tcW w:w="2574" w:type="dxa"/>
            <w:tcBorders>
              <w:top w:val="nil"/>
              <w:left w:val="nil"/>
              <w:bottom w:val="nil"/>
              <w:right w:val="nil"/>
            </w:tcBorders>
            <w:shd w:val="clear" w:color="auto" w:fill="auto"/>
            <w:noWrap/>
            <w:vAlign w:val="center"/>
            <w:hideMark/>
          </w:tcPr>
          <w:p w14:paraId="7CE5C5C5" w14:textId="4E89CBA0" w:rsidR="009C19C2" w:rsidRPr="003F74A1" w:rsidRDefault="009C19C2" w:rsidP="009C19C2">
            <w:pPr>
              <w:widowControl/>
              <w:autoSpaceDE/>
              <w:autoSpaceDN/>
              <w:jc w:val="right"/>
              <w:rPr>
                <w:rFonts w:eastAsia="Times New Roman"/>
                <w:color w:val="000000"/>
                <w:sz w:val="20"/>
                <w:szCs w:val="20"/>
              </w:rPr>
            </w:pPr>
            <w:r>
              <w:rPr>
                <w:color w:val="000000"/>
                <w:sz w:val="20"/>
                <w:szCs w:val="20"/>
              </w:rPr>
              <w:t>60,200</w:t>
            </w:r>
          </w:p>
        </w:tc>
      </w:tr>
      <w:tr w:rsidR="009C19C2" w:rsidRPr="003F74A1" w14:paraId="01650F0C" w14:textId="77777777" w:rsidTr="00F02E8D">
        <w:trPr>
          <w:trHeight w:val="290"/>
          <w:jc w:val="center"/>
        </w:trPr>
        <w:tc>
          <w:tcPr>
            <w:tcW w:w="1570" w:type="dxa"/>
            <w:tcBorders>
              <w:top w:val="nil"/>
              <w:left w:val="nil"/>
              <w:bottom w:val="nil"/>
              <w:right w:val="nil"/>
            </w:tcBorders>
            <w:shd w:val="clear" w:color="auto" w:fill="auto"/>
            <w:noWrap/>
            <w:vAlign w:val="center"/>
            <w:hideMark/>
          </w:tcPr>
          <w:p w14:paraId="7716969A" w14:textId="47A0AEAA" w:rsidR="009C19C2" w:rsidRPr="003F74A1" w:rsidRDefault="009C19C2" w:rsidP="009C19C2">
            <w:pPr>
              <w:widowControl/>
              <w:autoSpaceDE/>
              <w:autoSpaceDN/>
              <w:rPr>
                <w:rFonts w:eastAsia="Times New Roman"/>
                <w:color w:val="000000"/>
                <w:sz w:val="20"/>
                <w:szCs w:val="20"/>
              </w:rPr>
            </w:pPr>
            <w:r>
              <w:rPr>
                <w:color w:val="000000"/>
                <w:sz w:val="20"/>
                <w:szCs w:val="20"/>
              </w:rPr>
              <w:t>Central Coast</w:t>
            </w:r>
          </w:p>
        </w:tc>
        <w:tc>
          <w:tcPr>
            <w:tcW w:w="2162" w:type="dxa"/>
            <w:tcBorders>
              <w:top w:val="nil"/>
              <w:left w:val="nil"/>
              <w:bottom w:val="nil"/>
              <w:right w:val="nil"/>
            </w:tcBorders>
            <w:shd w:val="clear" w:color="auto" w:fill="auto"/>
            <w:noWrap/>
            <w:vAlign w:val="center"/>
            <w:hideMark/>
          </w:tcPr>
          <w:p w14:paraId="389C9B84" w14:textId="56121A7F" w:rsidR="009C19C2" w:rsidRPr="003F74A1" w:rsidRDefault="009C19C2" w:rsidP="009C19C2">
            <w:pPr>
              <w:widowControl/>
              <w:autoSpaceDE/>
              <w:autoSpaceDN/>
              <w:jc w:val="right"/>
              <w:rPr>
                <w:rFonts w:eastAsia="Times New Roman"/>
                <w:color w:val="000000"/>
                <w:sz w:val="20"/>
                <w:szCs w:val="20"/>
              </w:rPr>
            </w:pPr>
            <w:r>
              <w:rPr>
                <w:color w:val="000000"/>
                <w:sz w:val="20"/>
                <w:szCs w:val="20"/>
              </w:rPr>
              <w:t>-1,400</w:t>
            </w:r>
          </w:p>
        </w:tc>
        <w:tc>
          <w:tcPr>
            <w:tcW w:w="2574" w:type="dxa"/>
            <w:tcBorders>
              <w:top w:val="nil"/>
              <w:left w:val="nil"/>
              <w:bottom w:val="nil"/>
              <w:right w:val="nil"/>
            </w:tcBorders>
            <w:shd w:val="clear" w:color="auto" w:fill="auto"/>
            <w:noWrap/>
            <w:vAlign w:val="center"/>
            <w:hideMark/>
          </w:tcPr>
          <w:p w14:paraId="6B06DD4F" w14:textId="0B475075" w:rsidR="009C19C2" w:rsidRPr="003F74A1" w:rsidRDefault="009C19C2" w:rsidP="009C19C2">
            <w:pPr>
              <w:widowControl/>
              <w:autoSpaceDE/>
              <w:autoSpaceDN/>
              <w:jc w:val="right"/>
              <w:rPr>
                <w:rFonts w:eastAsia="Times New Roman"/>
                <w:color w:val="000000"/>
                <w:sz w:val="20"/>
                <w:szCs w:val="20"/>
              </w:rPr>
            </w:pPr>
            <w:r>
              <w:rPr>
                <w:color w:val="000000"/>
                <w:sz w:val="20"/>
                <w:szCs w:val="20"/>
              </w:rPr>
              <w:t>-8,400</w:t>
            </w:r>
          </w:p>
        </w:tc>
      </w:tr>
      <w:tr w:rsidR="009C19C2" w:rsidRPr="003F74A1" w14:paraId="410DDDEE" w14:textId="77777777" w:rsidTr="00F02E8D">
        <w:trPr>
          <w:trHeight w:val="300"/>
          <w:jc w:val="center"/>
        </w:trPr>
        <w:tc>
          <w:tcPr>
            <w:tcW w:w="1570" w:type="dxa"/>
            <w:tcBorders>
              <w:top w:val="nil"/>
              <w:left w:val="nil"/>
              <w:bottom w:val="single" w:sz="8" w:space="0" w:color="auto"/>
              <w:right w:val="nil"/>
            </w:tcBorders>
            <w:shd w:val="clear" w:color="auto" w:fill="auto"/>
            <w:noWrap/>
            <w:vAlign w:val="center"/>
            <w:hideMark/>
          </w:tcPr>
          <w:p w14:paraId="1CFEEFD7" w14:textId="242E6026" w:rsidR="009C19C2" w:rsidRPr="003F74A1" w:rsidRDefault="009C19C2" w:rsidP="009C19C2">
            <w:pPr>
              <w:widowControl/>
              <w:autoSpaceDE/>
              <w:autoSpaceDN/>
              <w:rPr>
                <w:rFonts w:eastAsia="Times New Roman"/>
                <w:color w:val="000000"/>
                <w:sz w:val="20"/>
                <w:szCs w:val="20"/>
              </w:rPr>
            </w:pPr>
            <w:r>
              <w:rPr>
                <w:color w:val="000000"/>
                <w:sz w:val="20"/>
                <w:szCs w:val="20"/>
              </w:rPr>
              <w:t>San Diego</w:t>
            </w:r>
          </w:p>
        </w:tc>
        <w:tc>
          <w:tcPr>
            <w:tcW w:w="2162" w:type="dxa"/>
            <w:tcBorders>
              <w:top w:val="nil"/>
              <w:left w:val="nil"/>
              <w:bottom w:val="single" w:sz="8" w:space="0" w:color="auto"/>
              <w:right w:val="nil"/>
            </w:tcBorders>
            <w:shd w:val="clear" w:color="auto" w:fill="auto"/>
            <w:noWrap/>
            <w:vAlign w:val="center"/>
            <w:hideMark/>
          </w:tcPr>
          <w:p w14:paraId="7B43D296" w14:textId="748304FE" w:rsidR="009C19C2" w:rsidRPr="003F74A1" w:rsidRDefault="009C19C2" w:rsidP="009C19C2">
            <w:pPr>
              <w:widowControl/>
              <w:autoSpaceDE/>
              <w:autoSpaceDN/>
              <w:jc w:val="right"/>
              <w:rPr>
                <w:rFonts w:eastAsia="Times New Roman"/>
                <w:color w:val="000000"/>
                <w:sz w:val="20"/>
                <w:szCs w:val="20"/>
              </w:rPr>
            </w:pPr>
            <w:r>
              <w:rPr>
                <w:color w:val="000000"/>
                <w:sz w:val="20"/>
                <w:szCs w:val="20"/>
              </w:rPr>
              <w:t>-2,700</w:t>
            </w:r>
          </w:p>
        </w:tc>
        <w:tc>
          <w:tcPr>
            <w:tcW w:w="2574" w:type="dxa"/>
            <w:tcBorders>
              <w:top w:val="nil"/>
              <w:left w:val="nil"/>
              <w:bottom w:val="single" w:sz="8" w:space="0" w:color="auto"/>
              <w:right w:val="nil"/>
            </w:tcBorders>
            <w:shd w:val="clear" w:color="auto" w:fill="auto"/>
            <w:noWrap/>
            <w:vAlign w:val="center"/>
            <w:hideMark/>
          </w:tcPr>
          <w:p w14:paraId="73F2B4C5" w14:textId="414E5489" w:rsidR="009C19C2" w:rsidRPr="003F74A1" w:rsidRDefault="009C19C2" w:rsidP="009C19C2">
            <w:pPr>
              <w:widowControl/>
              <w:autoSpaceDE/>
              <w:autoSpaceDN/>
              <w:jc w:val="right"/>
              <w:rPr>
                <w:rFonts w:eastAsia="Times New Roman"/>
                <w:color w:val="000000"/>
                <w:sz w:val="20"/>
                <w:szCs w:val="20"/>
              </w:rPr>
            </w:pPr>
            <w:r>
              <w:rPr>
                <w:color w:val="000000"/>
                <w:sz w:val="20"/>
                <w:szCs w:val="20"/>
              </w:rPr>
              <w:t>50,000</w:t>
            </w:r>
          </w:p>
        </w:tc>
      </w:tr>
    </w:tbl>
    <w:p w14:paraId="4C07D0BF" w14:textId="77777777" w:rsidR="00CF42EE" w:rsidRDefault="00CF42EE" w:rsidP="00CF42EE"/>
    <w:p w14:paraId="62E00EB2" w14:textId="77777777" w:rsidR="00CF42EE" w:rsidRDefault="00CF42EE" w:rsidP="00CF42EE">
      <w:r>
        <w:t>Because the data in the table is seasonally adjusted, the numbers should be considered as the total for the counties in each region rather than the regional number.  This job series also is not available for all areas in California.</w:t>
      </w:r>
    </w:p>
    <w:p w14:paraId="48A09E4D" w14:textId="77777777" w:rsidR="00CF42EE" w:rsidRDefault="00CF42EE" w:rsidP="00CF42EE"/>
    <w:p w14:paraId="54E5CF6E" w14:textId="77777777" w:rsidR="00CF42EE" w:rsidRDefault="00CF42EE" w:rsidP="00CF42EE">
      <w:pPr>
        <w:rPr>
          <w:b/>
          <w:sz w:val="20"/>
          <w:szCs w:val="20"/>
        </w:rPr>
      </w:pPr>
      <w:r w:rsidRPr="004A3404">
        <w:rPr>
          <w:b/>
          <w:sz w:val="28"/>
        </w:rPr>
        <w:t xml:space="preserve">Unemployment Rates by Region   </w:t>
      </w:r>
    </w:p>
    <w:p w14:paraId="0F53988A" w14:textId="77777777" w:rsidR="00CF42EE" w:rsidRDefault="00CF42EE" w:rsidP="00CF42EE">
      <w:pPr>
        <w:rPr>
          <w:rFonts w:cstheme="minorHAnsi"/>
          <w:bCs/>
        </w:rPr>
      </w:pPr>
    </w:p>
    <w:p w14:paraId="150F96FD" w14:textId="63626F08" w:rsidR="00CF42EE" w:rsidRPr="00535BD0" w:rsidRDefault="00CF42EE" w:rsidP="00CF42EE">
      <w:pPr>
        <w:rPr>
          <w:rFonts w:cstheme="minorHAnsi"/>
          <w:bCs/>
        </w:rPr>
      </w:pPr>
      <w:r w:rsidRPr="00535BD0">
        <w:rPr>
          <w:rFonts w:cstheme="minorHAnsi"/>
          <w:bCs/>
        </w:rPr>
        <w:t>Looking at employmen</w:t>
      </w:r>
      <w:r>
        <w:rPr>
          <w:rFonts w:cstheme="minorHAnsi"/>
          <w:bCs/>
        </w:rPr>
        <w:t xml:space="preserve">t change over the year, the </w:t>
      </w:r>
      <w:r w:rsidR="00DC3E98">
        <w:rPr>
          <w:rFonts w:cstheme="minorHAnsi"/>
          <w:bCs/>
        </w:rPr>
        <w:t>Central Valley showed the strongest gains, followed by Los Angeles moving into the plus column</w:t>
      </w:r>
      <w:r w:rsidRPr="00535BD0">
        <w:rPr>
          <w:rFonts w:cstheme="minorHAnsi"/>
          <w:bCs/>
        </w:rPr>
        <w:t>.</w:t>
      </w:r>
      <w:r w:rsidR="00DC3E98">
        <w:rPr>
          <w:rFonts w:cstheme="minorHAnsi"/>
          <w:bCs/>
        </w:rPr>
        <w:t xml:space="preserve">  Compared to the pre-pandemic period, the strongest shortfalls remain in Los Angeles and the Bay Area.</w:t>
      </w:r>
    </w:p>
    <w:p w14:paraId="12202BE0" w14:textId="77777777" w:rsidR="00CF42EE" w:rsidRPr="00535BD0" w:rsidRDefault="00CF42EE" w:rsidP="00CF42EE">
      <w:pPr>
        <w:rPr>
          <w:rFonts w:cstheme="minorHAnsi"/>
          <w:bCs/>
        </w:rPr>
      </w:pPr>
    </w:p>
    <w:tbl>
      <w:tblPr>
        <w:tblW w:w="5602" w:type="dxa"/>
        <w:jc w:val="center"/>
        <w:tblLook w:val="04A0" w:firstRow="1" w:lastRow="0" w:firstColumn="1" w:lastColumn="0" w:noHBand="0" w:noVBand="1"/>
      </w:tblPr>
      <w:tblGrid>
        <w:gridCol w:w="1836"/>
        <w:gridCol w:w="1905"/>
        <w:gridCol w:w="1861"/>
      </w:tblGrid>
      <w:tr w:rsidR="00DC3E98" w:rsidRPr="00DC3E98" w14:paraId="43034DEB" w14:textId="77777777" w:rsidTr="00DC3E98">
        <w:trPr>
          <w:trHeight w:val="300"/>
          <w:jc w:val="center"/>
        </w:trPr>
        <w:tc>
          <w:tcPr>
            <w:tcW w:w="3741" w:type="dxa"/>
            <w:gridSpan w:val="2"/>
            <w:tcBorders>
              <w:top w:val="nil"/>
              <w:left w:val="nil"/>
              <w:bottom w:val="nil"/>
              <w:right w:val="nil"/>
            </w:tcBorders>
            <w:shd w:val="clear" w:color="auto" w:fill="auto"/>
            <w:noWrap/>
            <w:vAlign w:val="center"/>
            <w:hideMark/>
          </w:tcPr>
          <w:p w14:paraId="073BD5A4" w14:textId="77777777" w:rsidR="00DC3E98" w:rsidRPr="00DC3E98" w:rsidRDefault="00DC3E98" w:rsidP="00DC3E98">
            <w:pPr>
              <w:widowControl/>
              <w:autoSpaceDE/>
              <w:autoSpaceDN/>
              <w:rPr>
                <w:rFonts w:eastAsia="Times New Roman"/>
                <w:b/>
                <w:bCs/>
                <w:color w:val="000000"/>
                <w:sz w:val="20"/>
                <w:szCs w:val="20"/>
              </w:rPr>
            </w:pPr>
            <w:r w:rsidRPr="00DC3E98">
              <w:rPr>
                <w:rFonts w:eastAsia="Times New Roman"/>
                <w:b/>
                <w:bCs/>
                <w:color w:val="000000"/>
                <w:sz w:val="20"/>
                <w:szCs w:val="20"/>
              </w:rPr>
              <w:t>Employment by Region</w:t>
            </w:r>
          </w:p>
        </w:tc>
        <w:tc>
          <w:tcPr>
            <w:tcW w:w="1861" w:type="dxa"/>
            <w:tcBorders>
              <w:top w:val="nil"/>
              <w:left w:val="nil"/>
              <w:bottom w:val="nil"/>
              <w:right w:val="nil"/>
            </w:tcBorders>
            <w:shd w:val="clear" w:color="auto" w:fill="auto"/>
            <w:noWrap/>
            <w:vAlign w:val="bottom"/>
            <w:hideMark/>
          </w:tcPr>
          <w:p w14:paraId="1D7F9852" w14:textId="77777777" w:rsidR="00DC3E98" w:rsidRPr="00DC3E98" w:rsidRDefault="00DC3E98" w:rsidP="00DC3E98">
            <w:pPr>
              <w:widowControl/>
              <w:autoSpaceDE/>
              <w:autoSpaceDN/>
              <w:rPr>
                <w:rFonts w:eastAsia="Times New Roman"/>
                <w:b/>
                <w:bCs/>
                <w:color w:val="000000"/>
                <w:sz w:val="20"/>
                <w:szCs w:val="20"/>
              </w:rPr>
            </w:pPr>
          </w:p>
        </w:tc>
      </w:tr>
      <w:tr w:rsidR="00DC3E98" w:rsidRPr="00DC3E98" w14:paraId="7AF978C9" w14:textId="77777777" w:rsidTr="00DC3E98">
        <w:trPr>
          <w:trHeight w:val="162"/>
          <w:jc w:val="center"/>
        </w:trPr>
        <w:tc>
          <w:tcPr>
            <w:tcW w:w="3741" w:type="dxa"/>
            <w:gridSpan w:val="2"/>
            <w:tcBorders>
              <w:top w:val="nil"/>
              <w:left w:val="nil"/>
              <w:bottom w:val="nil"/>
              <w:right w:val="nil"/>
            </w:tcBorders>
            <w:shd w:val="clear" w:color="auto" w:fill="auto"/>
            <w:noWrap/>
            <w:vAlign w:val="center"/>
            <w:hideMark/>
          </w:tcPr>
          <w:p w14:paraId="70D0F8D3" w14:textId="77777777" w:rsidR="00DC3E98" w:rsidRPr="00DC3E98" w:rsidRDefault="00DC3E98" w:rsidP="00DC3E98">
            <w:pPr>
              <w:widowControl/>
              <w:autoSpaceDE/>
              <w:autoSpaceDN/>
              <w:rPr>
                <w:rFonts w:eastAsia="Times New Roman"/>
                <w:i/>
                <w:iCs/>
                <w:color w:val="000000"/>
                <w:sz w:val="16"/>
                <w:szCs w:val="16"/>
              </w:rPr>
            </w:pPr>
            <w:r w:rsidRPr="00DC3E98">
              <w:rPr>
                <w:rFonts w:eastAsia="Times New Roman"/>
                <w:i/>
                <w:iCs/>
                <w:color w:val="000000"/>
                <w:sz w:val="16"/>
                <w:szCs w:val="16"/>
              </w:rPr>
              <w:t>Source:  EDD, not seasonally adjusted</w:t>
            </w:r>
          </w:p>
        </w:tc>
        <w:tc>
          <w:tcPr>
            <w:tcW w:w="1861" w:type="dxa"/>
            <w:tcBorders>
              <w:top w:val="nil"/>
              <w:left w:val="nil"/>
              <w:bottom w:val="nil"/>
              <w:right w:val="nil"/>
            </w:tcBorders>
            <w:shd w:val="clear" w:color="auto" w:fill="auto"/>
            <w:noWrap/>
            <w:vAlign w:val="bottom"/>
            <w:hideMark/>
          </w:tcPr>
          <w:p w14:paraId="1BE6A94C" w14:textId="77777777" w:rsidR="00DC3E98" w:rsidRPr="00DC3E98" w:rsidRDefault="00DC3E98" w:rsidP="00DC3E98">
            <w:pPr>
              <w:widowControl/>
              <w:autoSpaceDE/>
              <w:autoSpaceDN/>
              <w:rPr>
                <w:rFonts w:eastAsia="Times New Roman"/>
                <w:i/>
                <w:iCs/>
                <w:color w:val="000000"/>
                <w:sz w:val="16"/>
                <w:szCs w:val="16"/>
              </w:rPr>
            </w:pPr>
          </w:p>
        </w:tc>
      </w:tr>
      <w:tr w:rsidR="00DC3E98" w:rsidRPr="00DC3E98" w14:paraId="3D974634" w14:textId="77777777" w:rsidTr="00DC3E98">
        <w:trPr>
          <w:trHeight w:val="162"/>
          <w:jc w:val="center"/>
        </w:trPr>
        <w:tc>
          <w:tcPr>
            <w:tcW w:w="1836" w:type="dxa"/>
            <w:tcBorders>
              <w:top w:val="nil"/>
              <w:left w:val="nil"/>
              <w:bottom w:val="nil"/>
              <w:right w:val="nil"/>
            </w:tcBorders>
            <w:shd w:val="clear" w:color="auto" w:fill="auto"/>
            <w:noWrap/>
            <w:vAlign w:val="center"/>
            <w:hideMark/>
          </w:tcPr>
          <w:p w14:paraId="4F9BAF5B" w14:textId="77777777" w:rsidR="00DC3E98" w:rsidRPr="00DC3E98" w:rsidRDefault="00DC3E98" w:rsidP="00DC3E98">
            <w:pPr>
              <w:widowControl/>
              <w:autoSpaceDE/>
              <w:autoSpaceDN/>
              <w:rPr>
                <w:rFonts w:ascii="Times New Roman" w:eastAsia="Times New Roman" w:hAnsi="Times New Roman" w:cs="Times New Roman"/>
                <w:sz w:val="20"/>
                <w:szCs w:val="20"/>
              </w:rPr>
            </w:pPr>
          </w:p>
        </w:tc>
        <w:tc>
          <w:tcPr>
            <w:tcW w:w="1905" w:type="dxa"/>
            <w:tcBorders>
              <w:top w:val="nil"/>
              <w:left w:val="nil"/>
              <w:bottom w:val="nil"/>
              <w:right w:val="nil"/>
            </w:tcBorders>
            <w:shd w:val="clear" w:color="auto" w:fill="auto"/>
            <w:noWrap/>
            <w:vAlign w:val="center"/>
            <w:hideMark/>
          </w:tcPr>
          <w:p w14:paraId="22A3051C" w14:textId="77777777" w:rsidR="00DC3E98" w:rsidRPr="00DC3E98" w:rsidRDefault="00DC3E98" w:rsidP="00DC3E98">
            <w:pPr>
              <w:widowControl/>
              <w:autoSpaceDE/>
              <w:autoSpaceDN/>
              <w:rPr>
                <w:rFonts w:ascii="Times New Roman" w:eastAsia="Times New Roman" w:hAnsi="Times New Roman" w:cs="Times New Roman"/>
                <w:sz w:val="20"/>
                <w:szCs w:val="20"/>
              </w:rPr>
            </w:pPr>
          </w:p>
        </w:tc>
        <w:tc>
          <w:tcPr>
            <w:tcW w:w="1861" w:type="dxa"/>
            <w:tcBorders>
              <w:top w:val="nil"/>
              <w:left w:val="nil"/>
              <w:bottom w:val="nil"/>
              <w:right w:val="nil"/>
            </w:tcBorders>
            <w:shd w:val="clear" w:color="auto" w:fill="auto"/>
            <w:noWrap/>
            <w:vAlign w:val="bottom"/>
            <w:hideMark/>
          </w:tcPr>
          <w:p w14:paraId="6307CED9" w14:textId="77777777" w:rsidR="00DC3E98" w:rsidRPr="00DC3E98" w:rsidRDefault="00DC3E98" w:rsidP="00DC3E98">
            <w:pPr>
              <w:widowControl/>
              <w:autoSpaceDE/>
              <w:autoSpaceDN/>
              <w:rPr>
                <w:rFonts w:ascii="Times New Roman" w:eastAsia="Times New Roman" w:hAnsi="Times New Roman" w:cs="Times New Roman"/>
                <w:sz w:val="20"/>
                <w:szCs w:val="20"/>
              </w:rPr>
            </w:pPr>
          </w:p>
        </w:tc>
      </w:tr>
      <w:tr w:rsidR="00DC3E98" w:rsidRPr="00DC3E98" w14:paraId="597F3F56" w14:textId="77777777" w:rsidTr="00DC3E98">
        <w:trPr>
          <w:trHeight w:val="315"/>
          <w:jc w:val="center"/>
        </w:trPr>
        <w:tc>
          <w:tcPr>
            <w:tcW w:w="1836" w:type="dxa"/>
            <w:tcBorders>
              <w:top w:val="nil"/>
              <w:left w:val="nil"/>
              <w:bottom w:val="single" w:sz="8" w:space="0" w:color="auto"/>
              <w:right w:val="single" w:sz="8" w:space="0" w:color="auto"/>
            </w:tcBorders>
            <w:shd w:val="clear" w:color="auto" w:fill="auto"/>
            <w:noWrap/>
            <w:vAlign w:val="center"/>
            <w:hideMark/>
          </w:tcPr>
          <w:p w14:paraId="6F6D1DE4" w14:textId="77777777" w:rsidR="00DC3E98" w:rsidRPr="00DC3E98" w:rsidRDefault="00DC3E98" w:rsidP="00DC3E98">
            <w:pPr>
              <w:widowControl/>
              <w:autoSpaceDE/>
              <w:autoSpaceDN/>
              <w:rPr>
                <w:rFonts w:eastAsia="Times New Roman"/>
                <w:color w:val="000000"/>
              </w:rPr>
            </w:pPr>
            <w:r w:rsidRPr="00DC3E98">
              <w:rPr>
                <w:rFonts w:eastAsia="Times New Roman"/>
                <w:color w:val="000000"/>
              </w:rPr>
              <w:lastRenderedPageBreak/>
              <w:t> </w:t>
            </w:r>
          </w:p>
        </w:tc>
        <w:tc>
          <w:tcPr>
            <w:tcW w:w="1905" w:type="dxa"/>
            <w:tcBorders>
              <w:top w:val="nil"/>
              <w:left w:val="nil"/>
              <w:bottom w:val="single" w:sz="8" w:space="0" w:color="auto"/>
              <w:right w:val="nil"/>
            </w:tcBorders>
            <w:shd w:val="clear" w:color="auto" w:fill="auto"/>
            <w:noWrap/>
            <w:vAlign w:val="center"/>
            <w:hideMark/>
          </w:tcPr>
          <w:p w14:paraId="4820AE56" w14:textId="77777777" w:rsidR="00DC3E98" w:rsidRPr="00DC3E98" w:rsidRDefault="00DC3E98" w:rsidP="00DC3E98">
            <w:pPr>
              <w:widowControl/>
              <w:autoSpaceDE/>
              <w:autoSpaceDN/>
              <w:rPr>
                <w:rFonts w:eastAsia="Times New Roman"/>
                <w:b/>
                <w:bCs/>
                <w:color w:val="000000"/>
                <w:sz w:val="20"/>
                <w:szCs w:val="20"/>
              </w:rPr>
            </w:pPr>
            <w:r w:rsidRPr="00DC3E98">
              <w:rPr>
                <w:rFonts w:eastAsia="Times New Roman"/>
                <w:b/>
                <w:bCs/>
                <w:color w:val="000000"/>
                <w:sz w:val="20"/>
                <w:szCs w:val="20"/>
              </w:rPr>
              <w:t>Change from Nov 2023</w:t>
            </w:r>
          </w:p>
        </w:tc>
        <w:tc>
          <w:tcPr>
            <w:tcW w:w="1861" w:type="dxa"/>
            <w:tcBorders>
              <w:top w:val="nil"/>
              <w:left w:val="nil"/>
              <w:bottom w:val="single" w:sz="8" w:space="0" w:color="auto"/>
              <w:right w:val="nil"/>
            </w:tcBorders>
            <w:shd w:val="clear" w:color="auto" w:fill="auto"/>
            <w:noWrap/>
            <w:vAlign w:val="center"/>
            <w:hideMark/>
          </w:tcPr>
          <w:p w14:paraId="28CCF27C" w14:textId="77777777" w:rsidR="00DC3E98" w:rsidRPr="00DC3E98" w:rsidRDefault="00DC3E98" w:rsidP="00DC3E98">
            <w:pPr>
              <w:widowControl/>
              <w:autoSpaceDE/>
              <w:autoSpaceDN/>
              <w:rPr>
                <w:rFonts w:eastAsia="Times New Roman"/>
                <w:b/>
                <w:bCs/>
                <w:color w:val="000000"/>
                <w:sz w:val="20"/>
                <w:szCs w:val="20"/>
              </w:rPr>
            </w:pPr>
            <w:r w:rsidRPr="00DC3E98">
              <w:rPr>
                <w:rFonts w:eastAsia="Times New Roman"/>
                <w:b/>
                <w:bCs/>
                <w:color w:val="000000"/>
                <w:sz w:val="20"/>
                <w:szCs w:val="20"/>
              </w:rPr>
              <w:t>Change from Feb 2020</w:t>
            </w:r>
          </w:p>
        </w:tc>
      </w:tr>
      <w:tr w:rsidR="00DC3E98" w:rsidRPr="00DC3E98" w14:paraId="6FB06B32" w14:textId="77777777" w:rsidTr="00DC3E98">
        <w:trPr>
          <w:trHeight w:val="300"/>
          <w:jc w:val="center"/>
        </w:trPr>
        <w:tc>
          <w:tcPr>
            <w:tcW w:w="1836" w:type="dxa"/>
            <w:tcBorders>
              <w:top w:val="nil"/>
              <w:left w:val="nil"/>
              <w:bottom w:val="nil"/>
              <w:right w:val="single" w:sz="8" w:space="0" w:color="auto"/>
            </w:tcBorders>
            <w:shd w:val="clear" w:color="auto" w:fill="auto"/>
            <w:noWrap/>
            <w:vAlign w:val="center"/>
            <w:hideMark/>
          </w:tcPr>
          <w:p w14:paraId="01AD9A3E" w14:textId="77777777" w:rsidR="00DC3E98" w:rsidRPr="00DC3E98" w:rsidRDefault="00DC3E98" w:rsidP="00DC3E98">
            <w:pPr>
              <w:widowControl/>
              <w:autoSpaceDE/>
              <w:autoSpaceDN/>
              <w:rPr>
                <w:rFonts w:eastAsia="Times New Roman"/>
                <w:color w:val="000000"/>
                <w:sz w:val="20"/>
                <w:szCs w:val="20"/>
              </w:rPr>
            </w:pPr>
            <w:r w:rsidRPr="00DC3E98">
              <w:rPr>
                <w:rFonts w:eastAsia="Times New Roman"/>
                <w:color w:val="000000"/>
                <w:sz w:val="20"/>
                <w:szCs w:val="20"/>
              </w:rPr>
              <w:t>Central Valley</w:t>
            </w:r>
          </w:p>
        </w:tc>
        <w:tc>
          <w:tcPr>
            <w:tcW w:w="1905" w:type="dxa"/>
            <w:tcBorders>
              <w:top w:val="nil"/>
              <w:left w:val="nil"/>
              <w:bottom w:val="nil"/>
              <w:right w:val="nil"/>
            </w:tcBorders>
            <w:shd w:val="clear" w:color="auto" w:fill="auto"/>
            <w:noWrap/>
            <w:vAlign w:val="center"/>
            <w:hideMark/>
          </w:tcPr>
          <w:p w14:paraId="7C02E163" w14:textId="77777777" w:rsidR="00DC3E98" w:rsidRPr="00DC3E98" w:rsidRDefault="00DC3E98" w:rsidP="00DC3E98">
            <w:pPr>
              <w:widowControl/>
              <w:autoSpaceDE/>
              <w:autoSpaceDN/>
              <w:jc w:val="right"/>
              <w:rPr>
                <w:rFonts w:eastAsia="Times New Roman"/>
                <w:color w:val="000000"/>
                <w:sz w:val="20"/>
                <w:szCs w:val="20"/>
              </w:rPr>
            </w:pPr>
            <w:r w:rsidRPr="00DC3E98">
              <w:rPr>
                <w:rFonts w:eastAsia="Times New Roman"/>
                <w:color w:val="000000"/>
                <w:sz w:val="20"/>
                <w:szCs w:val="20"/>
              </w:rPr>
              <w:t>23,100</w:t>
            </w:r>
          </w:p>
        </w:tc>
        <w:tc>
          <w:tcPr>
            <w:tcW w:w="1861" w:type="dxa"/>
            <w:tcBorders>
              <w:top w:val="nil"/>
              <w:left w:val="nil"/>
              <w:bottom w:val="nil"/>
              <w:right w:val="nil"/>
            </w:tcBorders>
            <w:shd w:val="clear" w:color="auto" w:fill="auto"/>
            <w:noWrap/>
            <w:vAlign w:val="center"/>
            <w:hideMark/>
          </w:tcPr>
          <w:p w14:paraId="158D7AE5" w14:textId="77777777" w:rsidR="00DC3E98" w:rsidRPr="00DC3E98" w:rsidRDefault="00DC3E98" w:rsidP="00DC3E98">
            <w:pPr>
              <w:widowControl/>
              <w:autoSpaceDE/>
              <w:autoSpaceDN/>
              <w:jc w:val="right"/>
              <w:rPr>
                <w:rFonts w:eastAsia="Times New Roman"/>
                <w:color w:val="000000"/>
                <w:sz w:val="20"/>
                <w:szCs w:val="20"/>
              </w:rPr>
            </w:pPr>
            <w:r w:rsidRPr="00DC3E98">
              <w:rPr>
                <w:rFonts w:eastAsia="Times New Roman"/>
                <w:color w:val="000000"/>
                <w:sz w:val="20"/>
                <w:szCs w:val="20"/>
              </w:rPr>
              <w:t>58,500</w:t>
            </w:r>
          </w:p>
        </w:tc>
      </w:tr>
      <w:tr w:rsidR="00DC3E98" w:rsidRPr="00DC3E98" w14:paraId="0D306069" w14:textId="77777777" w:rsidTr="00DC3E98">
        <w:trPr>
          <w:trHeight w:val="300"/>
          <w:jc w:val="center"/>
        </w:trPr>
        <w:tc>
          <w:tcPr>
            <w:tcW w:w="1836" w:type="dxa"/>
            <w:tcBorders>
              <w:top w:val="nil"/>
              <w:left w:val="nil"/>
              <w:bottom w:val="nil"/>
              <w:right w:val="single" w:sz="8" w:space="0" w:color="auto"/>
            </w:tcBorders>
            <w:shd w:val="clear" w:color="auto" w:fill="auto"/>
            <w:noWrap/>
            <w:vAlign w:val="center"/>
            <w:hideMark/>
          </w:tcPr>
          <w:p w14:paraId="5E0D4C5B" w14:textId="77777777" w:rsidR="00DC3E98" w:rsidRPr="00DC3E98" w:rsidRDefault="00DC3E98" w:rsidP="00DC3E98">
            <w:pPr>
              <w:widowControl/>
              <w:autoSpaceDE/>
              <w:autoSpaceDN/>
              <w:rPr>
                <w:rFonts w:eastAsia="Times New Roman"/>
                <w:color w:val="000000"/>
                <w:sz w:val="20"/>
                <w:szCs w:val="20"/>
              </w:rPr>
            </w:pPr>
            <w:r w:rsidRPr="00DC3E98">
              <w:rPr>
                <w:rFonts w:eastAsia="Times New Roman"/>
                <w:color w:val="000000"/>
                <w:sz w:val="20"/>
                <w:szCs w:val="20"/>
              </w:rPr>
              <w:t>Los Angeles</w:t>
            </w:r>
          </w:p>
        </w:tc>
        <w:tc>
          <w:tcPr>
            <w:tcW w:w="1905" w:type="dxa"/>
            <w:tcBorders>
              <w:top w:val="nil"/>
              <w:left w:val="nil"/>
              <w:bottom w:val="nil"/>
              <w:right w:val="nil"/>
            </w:tcBorders>
            <w:shd w:val="clear" w:color="auto" w:fill="auto"/>
            <w:noWrap/>
            <w:vAlign w:val="center"/>
            <w:hideMark/>
          </w:tcPr>
          <w:p w14:paraId="3F372E2D" w14:textId="77777777" w:rsidR="00DC3E98" w:rsidRPr="00DC3E98" w:rsidRDefault="00DC3E98" w:rsidP="00DC3E98">
            <w:pPr>
              <w:widowControl/>
              <w:autoSpaceDE/>
              <w:autoSpaceDN/>
              <w:jc w:val="right"/>
              <w:rPr>
                <w:rFonts w:eastAsia="Times New Roman"/>
                <w:color w:val="000000"/>
                <w:sz w:val="20"/>
                <w:szCs w:val="20"/>
              </w:rPr>
            </w:pPr>
            <w:r w:rsidRPr="00DC3E98">
              <w:rPr>
                <w:rFonts w:eastAsia="Times New Roman"/>
                <w:color w:val="000000"/>
                <w:sz w:val="20"/>
                <w:szCs w:val="20"/>
              </w:rPr>
              <w:t>16,300</w:t>
            </w:r>
          </w:p>
        </w:tc>
        <w:tc>
          <w:tcPr>
            <w:tcW w:w="1861" w:type="dxa"/>
            <w:tcBorders>
              <w:top w:val="nil"/>
              <w:left w:val="nil"/>
              <w:bottom w:val="nil"/>
              <w:right w:val="nil"/>
            </w:tcBorders>
            <w:shd w:val="clear" w:color="auto" w:fill="auto"/>
            <w:noWrap/>
            <w:vAlign w:val="center"/>
            <w:hideMark/>
          </w:tcPr>
          <w:p w14:paraId="42F35C80" w14:textId="77777777" w:rsidR="00DC3E98" w:rsidRPr="00DC3E98" w:rsidRDefault="00DC3E98" w:rsidP="00DC3E98">
            <w:pPr>
              <w:widowControl/>
              <w:autoSpaceDE/>
              <w:autoSpaceDN/>
              <w:jc w:val="right"/>
              <w:rPr>
                <w:rFonts w:eastAsia="Times New Roman"/>
                <w:color w:val="000000"/>
                <w:sz w:val="20"/>
                <w:szCs w:val="20"/>
              </w:rPr>
            </w:pPr>
            <w:r w:rsidRPr="00DC3E98">
              <w:rPr>
                <w:rFonts w:eastAsia="Times New Roman"/>
                <w:color w:val="000000"/>
                <w:sz w:val="20"/>
                <w:szCs w:val="20"/>
              </w:rPr>
              <w:t>-312,600</w:t>
            </w:r>
          </w:p>
        </w:tc>
      </w:tr>
      <w:tr w:rsidR="00DC3E98" w:rsidRPr="00DC3E98" w14:paraId="5EF28292" w14:textId="77777777" w:rsidTr="00DC3E98">
        <w:trPr>
          <w:trHeight w:val="300"/>
          <w:jc w:val="center"/>
        </w:trPr>
        <w:tc>
          <w:tcPr>
            <w:tcW w:w="1836" w:type="dxa"/>
            <w:tcBorders>
              <w:top w:val="nil"/>
              <w:left w:val="nil"/>
              <w:bottom w:val="nil"/>
              <w:right w:val="single" w:sz="8" w:space="0" w:color="auto"/>
            </w:tcBorders>
            <w:shd w:val="clear" w:color="auto" w:fill="auto"/>
            <w:noWrap/>
            <w:vAlign w:val="center"/>
            <w:hideMark/>
          </w:tcPr>
          <w:p w14:paraId="13EF61AE" w14:textId="77777777" w:rsidR="00DC3E98" w:rsidRPr="00DC3E98" w:rsidRDefault="00DC3E98" w:rsidP="00DC3E98">
            <w:pPr>
              <w:widowControl/>
              <w:autoSpaceDE/>
              <w:autoSpaceDN/>
              <w:rPr>
                <w:rFonts w:eastAsia="Times New Roman"/>
                <w:color w:val="000000"/>
                <w:sz w:val="20"/>
                <w:szCs w:val="20"/>
              </w:rPr>
            </w:pPr>
            <w:r w:rsidRPr="00DC3E98">
              <w:rPr>
                <w:rFonts w:eastAsia="Times New Roman"/>
                <w:color w:val="000000"/>
                <w:sz w:val="20"/>
                <w:szCs w:val="20"/>
              </w:rPr>
              <w:t>Upstate California</w:t>
            </w:r>
          </w:p>
        </w:tc>
        <w:tc>
          <w:tcPr>
            <w:tcW w:w="1905" w:type="dxa"/>
            <w:tcBorders>
              <w:top w:val="nil"/>
              <w:left w:val="nil"/>
              <w:bottom w:val="nil"/>
              <w:right w:val="nil"/>
            </w:tcBorders>
            <w:shd w:val="clear" w:color="auto" w:fill="auto"/>
            <w:noWrap/>
            <w:vAlign w:val="center"/>
            <w:hideMark/>
          </w:tcPr>
          <w:p w14:paraId="61831944" w14:textId="77777777" w:rsidR="00DC3E98" w:rsidRPr="00DC3E98" w:rsidRDefault="00DC3E98" w:rsidP="00DC3E98">
            <w:pPr>
              <w:widowControl/>
              <w:autoSpaceDE/>
              <w:autoSpaceDN/>
              <w:jc w:val="right"/>
              <w:rPr>
                <w:rFonts w:eastAsia="Times New Roman"/>
                <w:color w:val="000000"/>
                <w:sz w:val="20"/>
                <w:szCs w:val="20"/>
              </w:rPr>
            </w:pPr>
            <w:r w:rsidRPr="00DC3E98">
              <w:rPr>
                <w:rFonts w:eastAsia="Times New Roman"/>
                <w:color w:val="000000"/>
                <w:sz w:val="20"/>
                <w:szCs w:val="20"/>
              </w:rPr>
              <w:t>7,540</w:t>
            </w:r>
          </w:p>
        </w:tc>
        <w:tc>
          <w:tcPr>
            <w:tcW w:w="1861" w:type="dxa"/>
            <w:tcBorders>
              <w:top w:val="nil"/>
              <w:left w:val="nil"/>
              <w:bottom w:val="nil"/>
              <w:right w:val="nil"/>
            </w:tcBorders>
            <w:shd w:val="clear" w:color="auto" w:fill="auto"/>
            <w:noWrap/>
            <w:vAlign w:val="center"/>
            <w:hideMark/>
          </w:tcPr>
          <w:p w14:paraId="7D6D235C" w14:textId="77777777" w:rsidR="00DC3E98" w:rsidRPr="00DC3E98" w:rsidRDefault="00DC3E98" w:rsidP="00DC3E98">
            <w:pPr>
              <w:widowControl/>
              <w:autoSpaceDE/>
              <w:autoSpaceDN/>
              <w:jc w:val="right"/>
              <w:rPr>
                <w:rFonts w:eastAsia="Times New Roman"/>
                <w:color w:val="000000"/>
                <w:sz w:val="20"/>
                <w:szCs w:val="20"/>
              </w:rPr>
            </w:pPr>
            <w:r w:rsidRPr="00DC3E98">
              <w:rPr>
                <w:rFonts w:eastAsia="Times New Roman"/>
                <w:color w:val="000000"/>
                <w:sz w:val="20"/>
                <w:szCs w:val="20"/>
              </w:rPr>
              <w:t>-3,880</w:t>
            </w:r>
          </w:p>
        </w:tc>
      </w:tr>
      <w:tr w:rsidR="00DC3E98" w:rsidRPr="00DC3E98" w14:paraId="49B1E11F" w14:textId="77777777" w:rsidTr="00DC3E98">
        <w:trPr>
          <w:trHeight w:val="300"/>
          <w:jc w:val="center"/>
        </w:trPr>
        <w:tc>
          <w:tcPr>
            <w:tcW w:w="1836" w:type="dxa"/>
            <w:tcBorders>
              <w:top w:val="nil"/>
              <w:left w:val="nil"/>
              <w:bottom w:val="nil"/>
              <w:right w:val="single" w:sz="8" w:space="0" w:color="auto"/>
            </w:tcBorders>
            <w:shd w:val="clear" w:color="auto" w:fill="auto"/>
            <w:noWrap/>
            <w:vAlign w:val="center"/>
            <w:hideMark/>
          </w:tcPr>
          <w:p w14:paraId="18880883" w14:textId="77777777" w:rsidR="00DC3E98" w:rsidRPr="00DC3E98" w:rsidRDefault="00DC3E98" w:rsidP="00DC3E98">
            <w:pPr>
              <w:widowControl/>
              <w:autoSpaceDE/>
              <w:autoSpaceDN/>
              <w:rPr>
                <w:rFonts w:eastAsia="Times New Roman"/>
                <w:color w:val="000000"/>
                <w:sz w:val="20"/>
                <w:szCs w:val="20"/>
              </w:rPr>
            </w:pPr>
            <w:r w:rsidRPr="00DC3E98">
              <w:rPr>
                <w:rFonts w:eastAsia="Times New Roman"/>
                <w:color w:val="000000"/>
                <w:sz w:val="20"/>
                <w:szCs w:val="20"/>
              </w:rPr>
              <w:t>Inland Empire</w:t>
            </w:r>
          </w:p>
        </w:tc>
        <w:tc>
          <w:tcPr>
            <w:tcW w:w="1905" w:type="dxa"/>
            <w:tcBorders>
              <w:top w:val="nil"/>
              <w:left w:val="nil"/>
              <w:bottom w:val="nil"/>
              <w:right w:val="nil"/>
            </w:tcBorders>
            <w:shd w:val="clear" w:color="auto" w:fill="auto"/>
            <w:noWrap/>
            <w:vAlign w:val="center"/>
            <w:hideMark/>
          </w:tcPr>
          <w:p w14:paraId="35BB4B87" w14:textId="77777777" w:rsidR="00DC3E98" w:rsidRPr="00DC3E98" w:rsidRDefault="00DC3E98" w:rsidP="00DC3E98">
            <w:pPr>
              <w:widowControl/>
              <w:autoSpaceDE/>
              <w:autoSpaceDN/>
              <w:jc w:val="right"/>
              <w:rPr>
                <w:rFonts w:eastAsia="Times New Roman"/>
                <w:color w:val="000000"/>
                <w:sz w:val="20"/>
                <w:szCs w:val="20"/>
              </w:rPr>
            </w:pPr>
            <w:r w:rsidRPr="00DC3E98">
              <w:rPr>
                <w:rFonts w:eastAsia="Times New Roman"/>
                <w:color w:val="000000"/>
                <w:sz w:val="20"/>
                <w:szCs w:val="20"/>
              </w:rPr>
              <w:t>3,600</w:t>
            </w:r>
          </w:p>
        </w:tc>
        <w:tc>
          <w:tcPr>
            <w:tcW w:w="1861" w:type="dxa"/>
            <w:tcBorders>
              <w:top w:val="nil"/>
              <w:left w:val="nil"/>
              <w:bottom w:val="nil"/>
              <w:right w:val="nil"/>
            </w:tcBorders>
            <w:shd w:val="clear" w:color="auto" w:fill="auto"/>
            <w:noWrap/>
            <w:vAlign w:val="center"/>
            <w:hideMark/>
          </w:tcPr>
          <w:p w14:paraId="6D4D4DE3" w14:textId="77777777" w:rsidR="00DC3E98" w:rsidRPr="00DC3E98" w:rsidRDefault="00DC3E98" w:rsidP="00DC3E98">
            <w:pPr>
              <w:widowControl/>
              <w:autoSpaceDE/>
              <w:autoSpaceDN/>
              <w:jc w:val="right"/>
              <w:rPr>
                <w:rFonts w:eastAsia="Times New Roman"/>
                <w:color w:val="000000"/>
                <w:sz w:val="20"/>
                <w:szCs w:val="20"/>
              </w:rPr>
            </w:pPr>
            <w:r w:rsidRPr="00DC3E98">
              <w:rPr>
                <w:rFonts w:eastAsia="Times New Roman"/>
                <w:color w:val="000000"/>
                <w:sz w:val="20"/>
                <w:szCs w:val="20"/>
              </w:rPr>
              <w:t>38,900</w:t>
            </w:r>
          </w:p>
        </w:tc>
      </w:tr>
      <w:tr w:rsidR="00DC3E98" w:rsidRPr="00DC3E98" w14:paraId="23CC4D20" w14:textId="77777777" w:rsidTr="00DC3E98">
        <w:trPr>
          <w:trHeight w:val="300"/>
          <w:jc w:val="center"/>
        </w:trPr>
        <w:tc>
          <w:tcPr>
            <w:tcW w:w="1836" w:type="dxa"/>
            <w:tcBorders>
              <w:top w:val="nil"/>
              <w:left w:val="nil"/>
              <w:bottom w:val="nil"/>
              <w:right w:val="single" w:sz="8" w:space="0" w:color="auto"/>
            </w:tcBorders>
            <w:shd w:val="clear" w:color="auto" w:fill="auto"/>
            <w:noWrap/>
            <w:vAlign w:val="center"/>
            <w:hideMark/>
          </w:tcPr>
          <w:p w14:paraId="48162C37" w14:textId="77777777" w:rsidR="00DC3E98" w:rsidRPr="00DC3E98" w:rsidRDefault="00DC3E98" w:rsidP="00DC3E98">
            <w:pPr>
              <w:widowControl/>
              <w:autoSpaceDE/>
              <w:autoSpaceDN/>
              <w:rPr>
                <w:rFonts w:eastAsia="Times New Roman"/>
                <w:color w:val="000000"/>
                <w:sz w:val="20"/>
                <w:szCs w:val="20"/>
              </w:rPr>
            </w:pPr>
            <w:r w:rsidRPr="00DC3E98">
              <w:rPr>
                <w:rFonts w:eastAsia="Times New Roman"/>
                <w:color w:val="000000"/>
                <w:sz w:val="20"/>
                <w:szCs w:val="20"/>
              </w:rPr>
              <w:t>Central Sierra</w:t>
            </w:r>
          </w:p>
        </w:tc>
        <w:tc>
          <w:tcPr>
            <w:tcW w:w="1905" w:type="dxa"/>
            <w:tcBorders>
              <w:top w:val="nil"/>
              <w:left w:val="nil"/>
              <w:bottom w:val="nil"/>
              <w:right w:val="nil"/>
            </w:tcBorders>
            <w:shd w:val="clear" w:color="auto" w:fill="auto"/>
            <w:noWrap/>
            <w:vAlign w:val="center"/>
            <w:hideMark/>
          </w:tcPr>
          <w:p w14:paraId="15AB1E8A" w14:textId="77777777" w:rsidR="00DC3E98" w:rsidRPr="00DC3E98" w:rsidRDefault="00DC3E98" w:rsidP="00DC3E98">
            <w:pPr>
              <w:widowControl/>
              <w:autoSpaceDE/>
              <w:autoSpaceDN/>
              <w:jc w:val="right"/>
              <w:rPr>
                <w:rFonts w:eastAsia="Times New Roman"/>
                <w:color w:val="000000"/>
                <w:sz w:val="20"/>
                <w:szCs w:val="20"/>
              </w:rPr>
            </w:pPr>
            <w:r w:rsidRPr="00DC3E98">
              <w:rPr>
                <w:rFonts w:eastAsia="Times New Roman"/>
                <w:color w:val="000000"/>
                <w:sz w:val="20"/>
                <w:szCs w:val="20"/>
              </w:rPr>
              <w:t>1,240</w:t>
            </w:r>
          </w:p>
        </w:tc>
        <w:tc>
          <w:tcPr>
            <w:tcW w:w="1861" w:type="dxa"/>
            <w:tcBorders>
              <w:top w:val="nil"/>
              <w:left w:val="nil"/>
              <w:bottom w:val="nil"/>
              <w:right w:val="nil"/>
            </w:tcBorders>
            <w:shd w:val="clear" w:color="auto" w:fill="auto"/>
            <w:noWrap/>
            <w:vAlign w:val="center"/>
            <w:hideMark/>
          </w:tcPr>
          <w:p w14:paraId="60BF3E77" w14:textId="77777777" w:rsidR="00DC3E98" w:rsidRPr="00DC3E98" w:rsidRDefault="00DC3E98" w:rsidP="00DC3E98">
            <w:pPr>
              <w:widowControl/>
              <w:autoSpaceDE/>
              <w:autoSpaceDN/>
              <w:jc w:val="right"/>
              <w:rPr>
                <w:rFonts w:eastAsia="Times New Roman"/>
                <w:color w:val="000000"/>
                <w:sz w:val="20"/>
                <w:szCs w:val="20"/>
              </w:rPr>
            </w:pPr>
            <w:r w:rsidRPr="00DC3E98">
              <w:rPr>
                <w:rFonts w:eastAsia="Times New Roman"/>
                <w:color w:val="000000"/>
                <w:sz w:val="20"/>
                <w:szCs w:val="20"/>
              </w:rPr>
              <w:t>-310</w:t>
            </w:r>
          </w:p>
        </w:tc>
      </w:tr>
      <w:tr w:rsidR="00DC3E98" w:rsidRPr="00DC3E98" w14:paraId="2E59ADA9" w14:textId="77777777" w:rsidTr="00DC3E98">
        <w:trPr>
          <w:trHeight w:val="300"/>
          <w:jc w:val="center"/>
        </w:trPr>
        <w:tc>
          <w:tcPr>
            <w:tcW w:w="1836" w:type="dxa"/>
            <w:tcBorders>
              <w:top w:val="nil"/>
              <w:left w:val="nil"/>
              <w:bottom w:val="nil"/>
              <w:right w:val="single" w:sz="8" w:space="0" w:color="auto"/>
            </w:tcBorders>
            <w:shd w:val="clear" w:color="auto" w:fill="auto"/>
            <w:noWrap/>
            <w:vAlign w:val="center"/>
            <w:hideMark/>
          </w:tcPr>
          <w:p w14:paraId="6FB77BB2" w14:textId="77777777" w:rsidR="00DC3E98" w:rsidRPr="00DC3E98" w:rsidRDefault="00DC3E98" w:rsidP="00DC3E98">
            <w:pPr>
              <w:widowControl/>
              <w:autoSpaceDE/>
              <w:autoSpaceDN/>
              <w:rPr>
                <w:rFonts w:eastAsia="Times New Roman"/>
                <w:color w:val="000000"/>
                <w:sz w:val="20"/>
                <w:szCs w:val="20"/>
              </w:rPr>
            </w:pPr>
            <w:r w:rsidRPr="00DC3E98">
              <w:rPr>
                <w:rFonts w:eastAsia="Times New Roman"/>
                <w:color w:val="000000"/>
                <w:sz w:val="20"/>
                <w:szCs w:val="20"/>
              </w:rPr>
              <w:t>Sacramento</w:t>
            </w:r>
          </w:p>
        </w:tc>
        <w:tc>
          <w:tcPr>
            <w:tcW w:w="1905" w:type="dxa"/>
            <w:tcBorders>
              <w:top w:val="nil"/>
              <w:left w:val="nil"/>
              <w:bottom w:val="nil"/>
              <w:right w:val="nil"/>
            </w:tcBorders>
            <w:shd w:val="clear" w:color="auto" w:fill="auto"/>
            <w:noWrap/>
            <w:vAlign w:val="center"/>
            <w:hideMark/>
          </w:tcPr>
          <w:p w14:paraId="6D1148E8" w14:textId="77777777" w:rsidR="00DC3E98" w:rsidRPr="00DC3E98" w:rsidRDefault="00DC3E98" w:rsidP="00DC3E98">
            <w:pPr>
              <w:widowControl/>
              <w:autoSpaceDE/>
              <w:autoSpaceDN/>
              <w:jc w:val="right"/>
              <w:rPr>
                <w:rFonts w:eastAsia="Times New Roman"/>
                <w:color w:val="000000"/>
                <w:sz w:val="20"/>
                <w:szCs w:val="20"/>
              </w:rPr>
            </w:pPr>
            <w:r w:rsidRPr="00DC3E98">
              <w:rPr>
                <w:rFonts w:eastAsia="Times New Roman"/>
                <w:color w:val="000000"/>
                <w:sz w:val="20"/>
                <w:szCs w:val="20"/>
              </w:rPr>
              <w:t>-9,010</w:t>
            </w:r>
          </w:p>
        </w:tc>
        <w:tc>
          <w:tcPr>
            <w:tcW w:w="1861" w:type="dxa"/>
            <w:tcBorders>
              <w:top w:val="nil"/>
              <w:left w:val="nil"/>
              <w:bottom w:val="nil"/>
              <w:right w:val="nil"/>
            </w:tcBorders>
            <w:shd w:val="clear" w:color="auto" w:fill="auto"/>
            <w:noWrap/>
            <w:vAlign w:val="center"/>
            <w:hideMark/>
          </w:tcPr>
          <w:p w14:paraId="4B26E630" w14:textId="77777777" w:rsidR="00DC3E98" w:rsidRPr="00DC3E98" w:rsidRDefault="00DC3E98" w:rsidP="00DC3E98">
            <w:pPr>
              <w:widowControl/>
              <w:autoSpaceDE/>
              <w:autoSpaceDN/>
              <w:jc w:val="right"/>
              <w:rPr>
                <w:rFonts w:eastAsia="Times New Roman"/>
                <w:color w:val="000000"/>
                <w:sz w:val="20"/>
                <w:szCs w:val="20"/>
              </w:rPr>
            </w:pPr>
            <w:r w:rsidRPr="00DC3E98">
              <w:rPr>
                <w:rFonts w:eastAsia="Times New Roman"/>
                <w:color w:val="000000"/>
                <w:sz w:val="20"/>
                <w:szCs w:val="20"/>
              </w:rPr>
              <w:t>4,270</w:t>
            </w:r>
          </w:p>
        </w:tc>
      </w:tr>
      <w:tr w:rsidR="00DC3E98" w:rsidRPr="00DC3E98" w14:paraId="036AD709" w14:textId="77777777" w:rsidTr="00DC3E98">
        <w:trPr>
          <w:trHeight w:val="300"/>
          <w:jc w:val="center"/>
        </w:trPr>
        <w:tc>
          <w:tcPr>
            <w:tcW w:w="1836" w:type="dxa"/>
            <w:tcBorders>
              <w:top w:val="nil"/>
              <w:left w:val="nil"/>
              <w:bottom w:val="nil"/>
              <w:right w:val="single" w:sz="8" w:space="0" w:color="auto"/>
            </w:tcBorders>
            <w:shd w:val="clear" w:color="auto" w:fill="auto"/>
            <w:noWrap/>
            <w:vAlign w:val="center"/>
            <w:hideMark/>
          </w:tcPr>
          <w:p w14:paraId="4167E74A" w14:textId="77777777" w:rsidR="00DC3E98" w:rsidRPr="00DC3E98" w:rsidRDefault="00DC3E98" w:rsidP="00DC3E98">
            <w:pPr>
              <w:widowControl/>
              <w:autoSpaceDE/>
              <w:autoSpaceDN/>
              <w:rPr>
                <w:rFonts w:eastAsia="Times New Roman"/>
                <w:color w:val="000000"/>
                <w:sz w:val="20"/>
                <w:szCs w:val="20"/>
              </w:rPr>
            </w:pPr>
            <w:r w:rsidRPr="00DC3E98">
              <w:rPr>
                <w:rFonts w:eastAsia="Times New Roman"/>
                <w:color w:val="000000"/>
                <w:sz w:val="20"/>
                <w:szCs w:val="20"/>
              </w:rPr>
              <w:t>San Diego/Imperial</w:t>
            </w:r>
          </w:p>
        </w:tc>
        <w:tc>
          <w:tcPr>
            <w:tcW w:w="1905" w:type="dxa"/>
            <w:tcBorders>
              <w:top w:val="nil"/>
              <w:left w:val="nil"/>
              <w:bottom w:val="nil"/>
              <w:right w:val="nil"/>
            </w:tcBorders>
            <w:shd w:val="clear" w:color="auto" w:fill="auto"/>
            <w:noWrap/>
            <w:vAlign w:val="center"/>
            <w:hideMark/>
          </w:tcPr>
          <w:p w14:paraId="4A20D2E1" w14:textId="77777777" w:rsidR="00DC3E98" w:rsidRPr="00DC3E98" w:rsidRDefault="00DC3E98" w:rsidP="00DC3E98">
            <w:pPr>
              <w:widowControl/>
              <w:autoSpaceDE/>
              <w:autoSpaceDN/>
              <w:jc w:val="right"/>
              <w:rPr>
                <w:rFonts w:eastAsia="Times New Roman"/>
                <w:color w:val="000000"/>
                <w:sz w:val="20"/>
                <w:szCs w:val="20"/>
              </w:rPr>
            </w:pPr>
            <w:r w:rsidRPr="00DC3E98">
              <w:rPr>
                <w:rFonts w:eastAsia="Times New Roman"/>
                <w:color w:val="000000"/>
                <w:sz w:val="20"/>
                <w:szCs w:val="20"/>
              </w:rPr>
              <w:t>-20,500</w:t>
            </w:r>
          </w:p>
        </w:tc>
        <w:tc>
          <w:tcPr>
            <w:tcW w:w="1861" w:type="dxa"/>
            <w:tcBorders>
              <w:top w:val="nil"/>
              <w:left w:val="nil"/>
              <w:bottom w:val="nil"/>
              <w:right w:val="nil"/>
            </w:tcBorders>
            <w:shd w:val="clear" w:color="auto" w:fill="auto"/>
            <w:noWrap/>
            <w:vAlign w:val="center"/>
            <w:hideMark/>
          </w:tcPr>
          <w:p w14:paraId="6846E923" w14:textId="77777777" w:rsidR="00DC3E98" w:rsidRPr="00DC3E98" w:rsidRDefault="00DC3E98" w:rsidP="00DC3E98">
            <w:pPr>
              <w:widowControl/>
              <w:autoSpaceDE/>
              <w:autoSpaceDN/>
              <w:jc w:val="right"/>
              <w:rPr>
                <w:rFonts w:eastAsia="Times New Roman"/>
                <w:color w:val="000000"/>
                <w:sz w:val="20"/>
                <w:szCs w:val="20"/>
              </w:rPr>
            </w:pPr>
            <w:r w:rsidRPr="00DC3E98">
              <w:rPr>
                <w:rFonts w:eastAsia="Times New Roman"/>
                <w:color w:val="000000"/>
                <w:sz w:val="20"/>
                <w:szCs w:val="20"/>
              </w:rPr>
              <w:t>-32,200</w:t>
            </w:r>
          </w:p>
        </w:tc>
      </w:tr>
      <w:tr w:rsidR="00DC3E98" w:rsidRPr="00DC3E98" w14:paraId="731B3B15" w14:textId="77777777" w:rsidTr="00DC3E98">
        <w:trPr>
          <w:trHeight w:val="300"/>
          <w:jc w:val="center"/>
        </w:trPr>
        <w:tc>
          <w:tcPr>
            <w:tcW w:w="1836" w:type="dxa"/>
            <w:tcBorders>
              <w:top w:val="nil"/>
              <w:left w:val="nil"/>
              <w:bottom w:val="nil"/>
              <w:right w:val="single" w:sz="8" w:space="0" w:color="auto"/>
            </w:tcBorders>
            <w:shd w:val="clear" w:color="auto" w:fill="auto"/>
            <w:noWrap/>
            <w:vAlign w:val="center"/>
            <w:hideMark/>
          </w:tcPr>
          <w:p w14:paraId="34C8164A" w14:textId="77777777" w:rsidR="00DC3E98" w:rsidRPr="00DC3E98" w:rsidRDefault="00DC3E98" w:rsidP="00DC3E98">
            <w:pPr>
              <w:widowControl/>
              <w:autoSpaceDE/>
              <w:autoSpaceDN/>
              <w:rPr>
                <w:rFonts w:eastAsia="Times New Roman"/>
                <w:color w:val="000000"/>
                <w:sz w:val="20"/>
                <w:szCs w:val="20"/>
              </w:rPr>
            </w:pPr>
            <w:r w:rsidRPr="00DC3E98">
              <w:rPr>
                <w:rFonts w:eastAsia="Times New Roman"/>
                <w:color w:val="000000"/>
                <w:sz w:val="20"/>
                <w:szCs w:val="20"/>
              </w:rPr>
              <w:t>Central Coast</w:t>
            </w:r>
          </w:p>
        </w:tc>
        <w:tc>
          <w:tcPr>
            <w:tcW w:w="1905" w:type="dxa"/>
            <w:tcBorders>
              <w:top w:val="nil"/>
              <w:left w:val="nil"/>
              <w:bottom w:val="nil"/>
              <w:right w:val="nil"/>
            </w:tcBorders>
            <w:shd w:val="clear" w:color="auto" w:fill="auto"/>
            <w:noWrap/>
            <w:vAlign w:val="center"/>
            <w:hideMark/>
          </w:tcPr>
          <w:p w14:paraId="7B0BDA30" w14:textId="77777777" w:rsidR="00DC3E98" w:rsidRPr="00DC3E98" w:rsidRDefault="00DC3E98" w:rsidP="00DC3E98">
            <w:pPr>
              <w:widowControl/>
              <w:autoSpaceDE/>
              <w:autoSpaceDN/>
              <w:jc w:val="right"/>
              <w:rPr>
                <w:rFonts w:eastAsia="Times New Roman"/>
                <w:color w:val="000000"/>
                <w:sz w:val="20"/>
                <w:szCs w:val="20"/>
              </w:rPr>
            </w:pPr>
            <w:r w:rsidRPr="00DC3E98">
              <w:rPr>
                <w:rFonts w:eastAsia="Times New Roman"/>
                <w:color w:val="000000"/>
                <w:sz w:val="20"/>
                <w:szCs w:val="20"/>
              </w:rPr>
              <w:t>-21,100</w:t>
            </w:r>
          </w:p>
        </w:tc>
        <w:tc>
          <w:tcPr>
            <w:tcW w:w="1861" w:type="dxa"/>
            <w:tcBorders>
              <w:top w:val="nil"/>
              <w:left w:val="nil"/>
              <w:bottom w:val="nil"/>
              <w:right w:val="nil"/>
            </w:tcBorders>
            <w:shd w:val="clear" w:color="auto" w:fill="auto"/>
            <w:noWrap/>
            <w:vAlign w:val="center"/>
            <w:hideMark/>
          </w:tcPr>
          <w:p w14:paraId="10BE6451" w14:textId="77777777" w:rsidR="00DC3E98" w:rsidRPr="00DC3E98" w:rsidRDefault="00DC3E98" w:rsidP="00DC3E98">
            <w:pPr>
              <w:widowControl/>
              <w:autoSpaceDE/>
              <w:autoSpaceDN/>
              <w:jc w:val="right"/>
              <w:rPr>
                <w:rFonts w:eastAsia="Times New Roman"/>
                <w:color w:val="000000"/>
                <w:sz w:val="20"/>
                <w:szCs w:val="20"/>
              </w:rPr>
            </w:pPr>
            <w:r w:rsidRPr="00DC3E98">
              <w:rPr>
                <w:rFonts w:eastAsia="Times New Roman"/>
                <w:color w:val="000000"/>
                <w:sz w:val="20"/>
                <w:szCs w:val="20"/>
              </w:rPr>
              <w:t>-6,400</w:t>
            </w:r>
          </w:p>
        </w:tc>
      </w:tr>
      <w:tr w:rsidR="00DC3E98" w:rsidRPr="00DC3E98" w14:paraId="746AB1A4" w14:textId="77777777" w:rsidTr="00DC3E98">
        <w:trPr>
          <w:trHeight w:val="300"/>
          <w:jc w:val="center"/>
        </w:trPr>
        <w:tc>
          <w:tcPr>
            <w:tcW w:w="1836" w:type="dxa"/>
            <w:tcBorders>
              <w:top w:val="nil"/>
              <w:left w:val="nil"/>
              <w:bottom w:val="nil"/>
              <w:right w:val="single" w:sz="8" w:space="0" w:color="auto"/>
            </w:tcBorders>
            <w:shd w:val="clear" w:color="auto" w:fill="auto"/>
            <w:noWrap/>
            <w:vAlign w:val="center"/>
            <w:hideMark/>
          </w:tcPr>
          <w:p w14:paraId="76B695A7" w14:textId="77777777" w:rsidR="00DC3E98" w:rsidRPr="00DC3E98" w:rsidRDefault="00DC3E98" w:rsidP="00DC3E98">
            <w:pPr>
              <w:widowControl/>
              <w:autoSpaceDE/>
              <w:autoSpaceDN/>
              <w:rPr>
                <w:rFonts w:eastAsia="Times New Roman"/>
                <w:color w:val="000000"/>
                <w:sz w:val="20"/>
                <w:szCs w:val="20"/>
              </w:rPr>
            </w:pPr>
            <w:r w:rsidRPr="00DC3E98">
              <w:rPr>
                <w:rFonts w:eastAsia="Times New Roman"/>
                <w:color w:val="000000"/>
                <w:sz w:val="20"/>
                <w:szCs w:val="20"/>
              </w:rPr>
              <w:t>Orange County</w:t>
            </w:r>
          </w:p>
        </w:tc>
        <w:tc>
          <w:tcPr>
            <w:tcW w:w="1905" w:type="dxa"/>
            <w:tcBorders>
              <w:top w:val="nil"/>
              <w:left w:val="nil"/>
              <w:bottom w:val="nil"/>
              <w:right w:val="nil"/>
            </w:tcBorders>
            <w:shd w:val="clear" w:color="auto" w:fill="auto"/>
            <w:noWrap/>
            <w:vAlign w:val="center"/>
            <w:hideMark/>
          </w:tcPr>
          <w:p w14:paraId="55981FC7" w14:textId="77777777" w:rsidR="00DC3E98" w:rsidRPr="00DC3E98" w:rsidRDefault="00DC3E98" w:rsidP="00DC3E98">
            <w:pPr>
              <w:widowControl/>
              <w:autoSpaceDE/>
              <w:autoSpaceDN/>
              <w:jc w:val="right"/>
              <w:rPr>
                <w:rFonts w:eastAsia="Times New Roman"/>
                <w:color w:val="000000"/>
                <w:sz w:val="20"/>
                <w:szCs w:val="20"/>
              </w:rPr>
            </w:pPr>
            <w:r w:rsidRPr="00DC3E98">
              <w:rPr>
                <w:rFonts w:eastAsia="Times New Roman"/>
                <w:color w:val="000000"/>
                <w:sz w:val="20"/>
                <w:szCs w:val="20"/>
              </w:rPr>
              <w:t>-25,900</w:t>
            </w:r>
          </w:p>
        </w:tc>
        <w:tc>
          <w:tcPr>
            <w:tcW w:w="1861" w:type="dxa"/>
            <w:tcBorders>
              <w:top w:val="nil"/>
              <w:left w:val="nil"/>
              <w:bottom w:val="nil"/>
              <w:right w:val="nil"/>
            </w:tcBorders>
            <w:shd w:val="clear" w:color="auto" w:fill="auto"/>
            <w:noWrap/>
            <w:vAlign w:val="center"/>
            <w:hideMark/>
          </w:tcPr>
          <w:p w14:paraId="4807F5BA" w14:textId="77777777" w:rsidR="00DC3E98" w:rsidRPr="00DC3E98" w:rsidRDefault="00DC3E98" w:rsidP="00DC3E98">
            <w:pPr>
              <w:widowControl/>
              <w:autoSpaceDE/>
              <w:autoSpaceDN/>
              <w:jc w:val="right"/>
              <w:rPr>
                <w:rFonts w:eastAsia="Times New Roman"/>
                <w:color w:val="000000"/>
                <w:sz w:val="20"/>
                <w:szCs w:val="20"/>
              </w:rPr>
            </w:pPr>
            <w:r w:rsidRPr="00DC3E98">
              <w:rPr>
                <w:rFonts w:eastAsia="Times New Roman"/>
                <w:color w:val="000000"/>
                <w:sz w:val="20"/>
                <w:szCs w:val="20"/>
              </w:rPr>
              <w:t>-65,100</w:t>
            </w:r>
          </w:p>
        </w:tc>
      </w:tr>
      <w:tr w:rsidR="00DC3E98" w:rsidRPr="00DC3E98" w14:paraId="5CDAB923" w14:textId="77777777" w:rsidTr="00DC3E98">
        <w:trPr>
          <w:trHeight w:val="315"/>
          <w:jc w:val="center"/>
        </w:trPr>
        <w:tc>
          <w:tcPr>
            <w:tcW w:w="1836" w:type="dxa"/>
            <w:tcBorders>
              <w:top w:val="nil"/>
              <w:left w:val="nil"/>
              <w:bottom w:val="single" w:sz="8" w:space="0" w:color="auto"/>
              <w:right w:val="single" w:sz="8" w:space="0" w:color="auto"/>
            </w:tcBorders>
            <w:shd w:val="clear" w:color="auto" w:fill="auto"/>
            <w:noWrap/>
            <w:vAlign w:val="center"/>
            <w:hideMark/>
          </w:tcPr>
          <w:p w14:paraId="3C2DCEF3" w14:textId="77777777" w:rsidR="00DC3E98" w:rsidRPr="00DC3E98" w:rsidRDefault="00DC3E98" w:rsidP="00DC3E98">
            <w:pPr>
              <w:widowControl/>
              <w:autoSpaceDE/>
              <w:autoSpaceDN/>
              <w:rPr>
                <w:rFonts w:eastAsia="Times New Roman"/>
                <w:color w:val="000000"/>
                <w:sz w:val="20"/>
                <w:szCs w:val="20"/>
              </w:rPr>
            </w:pPr>
            <w:r w:rsidRPr="00DC3E98">
              <w:rPr>
                <w:rFonts w:eastAsia="Times New Roman"/>
                <w:color w:val="000000"/>
                <w:sz w:val="20"/>
                <w:szCs w:val="20"/>
              </w:rPr>
              <w:t>Bay Area</w:t>
            </w:r>
          </w:p>
        </w:tc>
        <w:tc>
          <w:tcPr>
            <w:tcW w:w="1905" w:type="dxa"/>
            <w:tcBorders>
              <w:top w:val="nil"/>
              <w:left w:val="nil"/>
              <w:bottom w:val="single" w:sz="8" w:space="0" w:color="auto"/>
              <w:right w:val="nil"/>
            </w:tcBorders>
            <w:shd w:val="clear" w:color="auto" w:fill="auto"/>
            <w:noWrap/>
            <w:vAlign w:val="center"/>
            <w:hideMark/>
          </w:tcPr>
          <w:p w14:paraId="4469092F" w14:textId="77777777" w:rsidR="00DC3E98" w:rsidRPr="00DC3E98" w:rsidRDefault="00DC3E98" w:rsidP="00DC3E98">
            <w:pPr>
              <w:widowControl/>
              <w:autoSpaceDE/>
              <w:autoSpaceDN/>
              <w:jc w:val="right"/>
              <w:rPr>
                <w:rFonts w:eastAsia="Times New Roman"/>
                <w:color w:val="000000"/>
                <w:sz w:val="20"/>
                <w:szCs w:val="20"/>
              </w:rPr>
            </w:pPr>
            <w:r w:rsidRPr="00DC3E98">
              <w:rPr>
                <w:rFonts w:eastAsia="Times New Roman"/>
                <w:color w:val="000000"/>
                <w:sz w:val="20"/>
                <w:szCs w:val="20"/>
              </w:rPr>
              <w:t>-98,200</w:t>
            </w:r>
          </w:p>
        </w:tc>
        <w:tc>
          <w:tcPr>
            <w:tcW w:w="1861" w:type="dxa"/>
            <w:tcBorders>
              <w:top w:val="nil"/>
              <w:left w:val="nil"/>
              <w:bottom w:val="single" w:sz="8" w:space="0" w:color="auto"/>
              <w:right w:val="nil"/>
            </w:tcBorders>
            <w:shd w:val="clear" w:color="auto" w:fill="auto"/>
            <w:noWrap/>
            <w:vAlign w:val="center"/>
            <w:hideMark/>
          </w:tcPr>
          <w:p w14:paraId="0C921FCD" w14:textId="77777777" w:rsidR="00DC3E98" w:rsidRPr="00DC3E98" w:rsidRDefault="00DC3E98" w:rsidP="00DC3E98">
            <w:pPr>
              <w:widowControl/>
              <w:autoSpaceDE/>
              <w:autoSpaceDN/>
              <w:jc w:val="right"/>
              <w:rPr>
                <w:rFonts w:eastAsia="Times New Roman"/>
                <w:color w:val="000000"/>
                <w:sz w:val="20"/>
                <w:szCs w:val="20"/>
              </w:rPr>
            </w:pPr>
            <w:r w:rsidRPr="00DC3E98">
              <w:rPr>
                <w:rFonts w:eastAsia="Times New Roman"/>
                <w:color w:val="000000"/>
                <w:sz w:val="20"/>
                <w:szCs w:val="20"/>
              </w:rPr>
              <w:t>-238,800</w:t>
            </w:r>
          </w:p>
        </w:tc>
      </w:tr>
    </w:tbl>
    <w:p w14:paraId="3C7DFD71" w14:textId="77777777" w:rsidR="00CF42EE" w:rsidRDefault="00CF42EE" w:rsidP="00DC3E98">
      <w:pPr>
        <w:jc w:val="center"/>
        <w:rPr>
          <w:rFonts w:cstheme="minorHAnsi"/>
          <w:bCs/>
        </w:rPr>
      </w:pPr>
    </w:p>
    <w:p w14:paraId="4870ABD2" w14:textId="77777777" w:rsidR="00CF42EE" w:rsidRPr="0023248A" w:rsidRDefault="00CF42EE" w:rsidP="00CF42EE">
      <w:pPr>
        <w:rPr>
          <w:rFonts w:cstheme="minorHAnsi"/>
          <w:bCs/>
        </w:rPr>
      </w:pPr>
      <w:r w:rsidRPr="0023248A">
        <w:rPr>
          <w:rFonts w:cstheme="minorHAnsi"/>
          <w:bCs/>
        </w:rPr>
        <w:t xml:space="preserve">Unemployment rates </w:t>
      </w:r>
      <w:r w:rsidRPr="0023248A">
        <w:rPr>
          <w:rFonts w:cstheme="minorHAnsi"/>
          <w:bCs/>
          <w:sz w:val="20"/>
          <w:szCs w:val="20"/>
        </w:rPr>
        <w:t>(not seasonally adjusted)</w:t>
      </w:r>
      <w:r w:rsidRPr="0023248A">
        <w:rPr>
          <w:rFonts w:cstheme="minorHAnsi"/>
          <w:bCs/>
        </w:rPr>
        <w:t xml:space="preserve"> </w:t>
      </w:r>
      <w:r>
        <w:rPr>
          <w:rFonts w:cstheme="minorHAnsi"/>
          <w:bCs/>
        </w:rPr>
        <w:t xml:space="preserve">remain higher most regions </w:t>
      </w:r>
      <w:r w:rsidRPr="0023248A">
        <w:rPr>
          <w:rFonts w:cstheme="minorHAnsi"/>
          <w:bCs/>
        </w:rPr>
        <w:t xml:space="preserve">compared to pre-pandemic </w:t>
      </w:r>
      <w:r>
        <w:rPr>
          <w:rFonts w:cstheme="minorHAnsi"/>
          <w:bCs/>
        </w:rPr>
        <w:t>February 2020</w:t>
      </w:r>
      <w:r w:rsidRPr="0023248A">
        <w:rPr>
          <w:rFonts w:cstheme="minorHAnsi"/>
          <w:bCs/>
        </w:rPr>
        <w:t xml:space="preserve"> </w:t>
      </w:r>
      <w:r>
        <w:rPr>
          <w:rFonts w:cstheme="minorHAnsi"/>
          <w:bCs/>
        </w:rPr>
        <w:t>levels</w:t>
      </w:r>
      <w:r w:rsidRPr="0023248A">
        <w:rPr>
          <w:rFonts w:cstheme="minorHAnsi"/>
          <w:bCs/>
        </w:rPr>
        <w:t xml:space="preserve">.   </w:t>
      </w:r>
    </w:p>
    <w:p w14:paraId="257C73FA" w14:textId="77777777" w:rsidR="00CF42EE" w:rsidRPr="0023248A" w:rsidRDefault="00CF42EE" w:rsidP="00CF42EE">
      <w:pPr>
        <w:rPr>
          <w:rFonts w:cstheme="minorHAnsi"/>
          <w:bCs/>
        </w:rPr>
      </w:pPr>
    </w:p>
    <w:tbl>
      <w:tblPr>
        <w:tblW w:w="3600" w:type="dxa"/>
        <w:jc w:val="center"/>
        <w:tblLook w:val="04A0" w:firstRow="1" w:lastRow="0" w:firstColumn="1" w:lastColumn="0" w:noHBand="0" w:noVBand="1"/>
      </w:tblPr>
      <w:tblGrid>
        <w:gridCol w:w="1908"/>
        <w:gridCol w:w="882"/>
        <w:gridCol w:w="810"/>
      </w:tblGrid>
      <w:tr w:rsidR="00CF42EE" w:rsidRPr="00001223" w14:paraId="0F2174A2" w14:textId="77777777" w:rsidTr="00F02E8D">
        <w:trPr>
          <w:trHeight w:val="300"/>
          <w:jc w:val="center"/>
        </w:trPr>
        <w:tc>
          <w:tcPr>
            <w:tcW w:w="3600" w:type="dxa"/>
            <w:gridSpan w:val="3"/>
            <w:tcBorders>
              <w:top w:val="nil"/>
              <w:left w:val="nil"/>
              <w:bottom w:val="nil"/>
              <w:right w:val="nil"/>
            </w:tcBorders>
            <w:shd w:val="clear" w:color="auto" w:fill="auto"/>
            <w:noWrap/>
            <w:vAlign w:val="bottom"/>
            <w:hideMark/>
          </w:tcPr>
          <w:p w14:paraId="327A0BBF" w14:textId="77777777" w:rsidR="00CF42EE" w:rsidRPr="00001223" w:rsidRDefault="00CF42EE" w:rsidP="00F02E8D">
            <w:pPr>
              <w:widowControl/>
              <w:autoSpaceDE/>
              <w:autoSpaceDN/>
              <w:rPr>
                <w:rFonts w:eastAsia="Times New Roman"/>
                <w:b/>
                <w:bCs/>
                <w:color w:val="000000"/>
                <w:sz w:val="20"/>
                <w:szCs w:val="20"/>
              </w:rPr>
            </w:pPr>
            <w:r w:rsidRPr="00001223">
              <w:rPr>
                <w:rFonts w:eastAsia="Times New Roman"/>
                <w:b/>
                <w:bCs/>
                <w:color w:val="000000"/>
                <w:sz w:val="20"/>
                <w:szCs w:val="20"/>
              </w:rPr>
              <w:t>Unemployment Rate by Region</w:t>
            </w:r>
          </w:p>
        </w:tc>
      </w:tr>
      <w:tr w:rsidR="00CF42EE" w:rsidRPr="00001223" w14:paraId="14F0E9AA" w14:textId="77777777" w:rsidTr="00F02E8D">
        <w:trPr>
          <w:trHeight w:val="162"/>
          <w:jc w:val="center"/>
        </w:trPr>
        <w:tc>
          <w:tcPr>
            <w:tcW w:w="3600" w:type="dxa"/>
            <w:gridSpan w:val="3"/>
            <w:tcBorders>
              <w:top w:val="nil"/>
              <w:left w:val="nil"/>
              <w:bottom w:val="nil"/>
              <w:right w:val="nil"/>
            </w:tcBorders>
            <w:shd w:val="clear" w:color="auto" w:fill="auto"/>
            <w:noWrap/>
            <w:vAlign w:val="bottom"/>
            <w:hideMark/>
          </w:tcPr>
          <w:p w14:paraId="118420F4" w14:textId="77777777" w:rsidR="00CF42EE" w:rsidRPr="00001223" w:rsidRDefault="00CF42EE" w:rsidP="00F02E8D">
            <w:pPr>
              <w:widowControl/>
              <w:autoSpaceDE/>
              <w:autoSpaceDN/>
              <w:rPr>
                <w:rFonts w:eastAsia="Times New Roman"/>
                <w:i/>
                <w:iCs/>
                <w:color w:val="000000"/>
                <w:sz w:val="16"/>
                <w:szCs w:val="16"/>
              </w:rPr>
            </w:pPr>
            <w:r w:rsidRPr="00001223">
              <w:rPr>
                <w:rFonts w:eastAsia="Times New Roman"/>
                <w:i/>
                <w:iCs/>
                <w:color w:val="000000"/>
                <w:sz w:val="16"/>
                <w:szCs w:val="16"/>
              </w:rPr>
              <w:t>Source:  EDD, not seasonally adjusted</w:t>
            </w:r>
          </w:p>
        </w:tc>
      </w:tr>
      <w:tr w:rsidR="00CF42EE" w:rsidRPr="00001223" w14:paraId="481E6A56" w14:textId="77777777" w:rsidTr="00F02E8D">
        <w:trPr>
          <w:trHeight w:val="162"/>
          <w:jc w:val="center"/>
        </w:trPr>
        <w:tc>
          <w:tcPr>
            <w:tcW w:w="3600" w:type="dxa"/>
            <w:gridSpan w:val="3"/>
            <w:tcBorders>
              <w:top w:val="nil"/>
              <w:left w:val="nil"/>
              <w:bottom w:val="single" w:sz="8" w:space="0" w:color="auto"/>
              <w:right w:val="nil"/>
            </w:tcBorders>
            <w:shd w:val="clear" w:color="auto" w:fill="auto"/>
            <w:noWrap/>
            <w:vAlign w:val="bottom"/>
            <w:hideMark/>
          </w:tcPr>
          <w:p w14:paraId="7940DAFF" w14:textId="77777777" w:rsidR="00CF42EE" w:rsidRPr="00001223" w:rsidRDefault="00CF42EE" w:rsidP="00F02E8D">
            <w:pPr>
              <w:widowControl/>
              <w:autoSpaceDE/>
              <w:autoSpaceDN/>
              <w:jc w:val="center"/>
              <w:rPr>
                <w:rFonts w:eastAsia="Times New Roman"/>
                <w:i/>
                <w:iCs/>
                <w:color w:val="000000"/>
                <w:sz w:val="10"/>
                <w:szCs w:val="10"/>
              </w:rPr>
            </w:pPr>
            <w:r w:rsidRPr="00001223">
              <w:rPr>
                <w:rFonts w:eastAsia="Times New Roman"/>
                <w:i/>
                <w:iCs/>
                <w:color w:val="000000"/>
                <w:sz w:val="10"/>
                <w:szCs w:val="10"/>
              </w:rPr>
              <w:t> </w:t>
            </w:r>
          </w:p>
        </w:tc>
      </w:tr>
      <w:tr w:rsidR="00DC3E98" w:rsidRPr="00001223" w14:paraId="73938AE1" w14:textId="77777777" w:rsidTr="00F02E8D">
        <w:trPr>
          <w:trHeight w:val="315"/>
          <w:jc w:val="center"/>
        </w:trPr>
        <w:tc>
          <w:tcPr>
            <w:tcW w:w="1908" w:type="dxa"/>
            <w:tcBorders>
              <w:top w:val="nil"/>
              <w:left w:val="nil"/>
              <w:bottom w:val="nil"/>
              <w:right w:val="nil"/>
            </w:tcBorders>
            <w:shd w:val="clear" w:color="auto" w:fill="auto"/>
            <w:noWrap/>
            <w:vAlign w:val="bottom"/>
            <w:hideMark/>
          </w:tcPr>
          <w:p w14:paraId="51E24F44" w14:textId="77777777" w:rsidR="00DC3E98" w:rsidRPr="00001223" w:rsidRDefault="00DC3E98" w:rsidP="00DC3E98">
            <w:pPr>
              <w:widowControl/>
              <w:autoSpaceDE/>
              <w:autoSpaceDN/>
              <w:jc w:val="center"/>
              <w:rPr>
                <w:rFonts w:eastAsia="Times New Roman"/>
                <w:i/>
                <w:iCs/>
                <w:color w:val="000000"/>
                <w:sz w:val="10"/>
                <w:szCs w:val="10"/>
              </w:rPr>
            </w:pPr>
          </w:p>
        </w:tc>
        <w:tc>
          <w:tcPr>
            <w:tcW w:w="882" w:type="dxa"/>
            <w:tcBorders>
              <w:top w:val="nil"/>
              <w:left w:val="nil"/>
              <w:bottom w:val="single" w:sz="8" w:space="0" w:color="auto"/>
              <w:right w:val="nil"/>
            </w:tcBorders>
            <w:shd w:val="clear" w:color="auto" w:fill="auto"/>
            <w:noWrap/>
            <w:vAlign w:val="bottom"/>
            <w:hideMark/>
          </w:tcPr>
          <w:p w14:paraId="7207BE5D" w14:textId="3BD87708" w:rsidR="00DC3E98" w:rsidRPr="00001223" w:rsidRDefault="00DC3E98" w:rsidP="00DC3E98">
            <w:pPr>
              <w:widowControl/>
              <w:autoSpaceDE/>
              <w:autoSpaceDN/>
              <w:jc w:val="right"/>
              <w:rPr>
                <w:rFonts w:eastAsia="Times New Roman"/>
                <w:b/>
                <w:bCs/>
                <w:color w:val="000000"/>
                <w:sz w:val="20"/>
                <w:szCs w:val="20"/>
              </w:rPr>
            </w:pPr>
            <w:r>
              <w:rPr>
                <w:b/>
                <w:bCs/>
                <w:color w:val="000000"/>
                <w:sz w:val="20"/>
                <w:szCs w:val="20"/>
              </w:rPr>
              <w:t>Nov-24</w:t>
            </w:r>
          </w:p>
        </w:tc>
        <w:tc>
          <w:tcPr>
            <w:tcW w:w="810" w:type="dxa"/>
            <w:tcBorders>
              <w:top w:val="nil"/>
              <w:left w:val="nil"/>
              <w:bottom w:val="single" w:sz="8" w:space="0" w:color="auto"/>
              <w:right w:val="nil"/>
            </w:tcBorders>
            <w:shd w:val="clear" w:color="auto" w:fill="auto"/>
            <w:noWrap/>
            <w:vAlign w:val="bottom"/>
            <w:hideMark/>
          </w:tcPr>
          <w:p w14:paraId="2E1EEDBF" w14:textId="1AE4DBAC" w:rsidR="00DC3E98" w:rsidRPr="00001223" w:rsidRDefault="00DC3E98" w:rsidP="00DC3E98">
            <w:pPr>
              <w:widowControl/>
              <w:autoSpaceDE/>
              <w:autoSpaceDN/>
              <w:jc w:val="right"/>
              <w:rPr>
                <w:rFonts w:eastAsia="Times New Roman"/>
                <w:b/>
                <w:bCs/>
                <w:color w:val="000000"/>
                <w:sz w:val="20"/>
                <w:szCs w:val="20"/>
              </w:rPr>
            </w:pPr>
            <w:r>
              <w:rPr>
                <w:b/>
                <w:bCs/>
                <w:color w:val="000000"/>
                <w:sz w:val="20"/>
                <w:szCs w:val="20"/>
              </w:rPr>
              <w:t>Feb-20</w:t>
            </w:r>
          </w:p>
        </w:tc>
      </w:tr>
      <w:tr w:rsidR="00DC3E98" w:rsidRPr="00001223" w14:paraId="265473C3" w14:textId="77777777" w:rsidTr="00F02E8D">
        <w:trPr>
          <w:trHeight w:val="300"/>
          <w:jc w:val="center"/>
        </w:trPr>
        <w:tc>
          <w:tcPr>
            <w:tcW w:w="1908" w:type="dxa"/>
            <w:tcBorders>
              <w:top w:val="nil"/>
              <w:left w:val="nil"/>
              <w:bottom w:val="nil"/>
              <w:right w:val="nil"/>
            </w:tcBorders>
            <w:shd w:val="clear" w:color="auto" w:fill="auto"/>
            <w:noWrap/>
            <w:vAlign w:val="center"/>
            <w:hideMark/>
          </w:tcPr>
          <w:p w14:paraId="7E43D96A" w14:textId="2A57AAD0" w:rsidR="00DC3E98" w:rsidRPr="00001223" w:rsidRDefault="00DC3E98" w:rsidP="00DC3E98">
            <w:pPr>
              <w:widowControl/>
              <w:autoSpaceDE/>
              <w:autoSpaceDN/>
              <w:rPr>
                <w:rFonts w:eastAsia="Times New Roman"/>
                <w:i/>
                <w:iCs/>
                <w:color w:val="000000"/>
                <w:sz w:val="20"/>
                <w:szCs w:val="20"/>
              </w:rPr>
            </w:pPr>
            <w:r>
              <w:rPr>
                <w:i/>
                <w:iCs/>
                <w:color w:val="000000"/>
                <w:sz w:val="20"/>
                <w:szCs w:val="20"/>
              </w:rPr>
              <w:t>California</w:t>
            </w:r>
          </w:p>
        </w:tc>
        <w:tc>
          <w:tcPr>
            <w:tcW w:w="882" w:type="dxa"/>
            <w:tcBorders>
              <w:top w:val="nil"/>
              <w:left w:val="nil"/>
              <w:bottom w:val="nil"/>
              <w:right w:val="nil"/>
            </w:tcBorders>
            <w:shd w:val="clear" w:color="auto" w:fill="auto"/>
            <w:noWrap/>
            <w:vAlign w:val="center"/>
            <w:hideMark/>
          </w:tcPr>
          <w:p w14:paraId="0BF8A522" w14:textId="4BDEBDC0" w:rsidR="00DC3E98" w:rsidRPr="00001223" w:rsidRDefault="00DC3E98" w:rsidP="00DC3E98">
            <w:pPr>
              <w:widowControl/>
              <w:autoSpaceDE/>
              <w:autoSpaceDN/>
              <w:jc w:val="right"/>
              <w:rPr>
                <w:rFonts w:eastAsia="Times New Roman"/>
                <w:i/>
                <w:iCs/>
                <w:color w:val="000000"/>
                <w:sz w:val="20"/>
                <w:szCs w:val="20"/>
              </w:rPr>
            </w:pPr>
            <w:r>
              <w:rPr>
                <w:i/>
                <w:iCs/>
                <w:color w:val="000000"/>
                <w:sz w:val="20"/>
                <w:szCs w:val="20"/>
              </w:rPr>
              <w:t>5.3</w:t>
            </w:r>
          </w:p>
        </w:tc>
        <w:tc>
          <w:tcPr>
            <w:tcW w:w="810" w:type="dxa"/>
            <w:tcBorders>
              <w:top w:val="nil"/>
              <w:left w:val="nil"/>
              <w:bottom w:val="nil"/>
              <w:right w:val="nil"/>
            </w:tcBorders>
            <w:shd w:val="clear" w:color="auto" w:fill="auto"/>
            <w:noWrap/>
            <w:vAlign w:val="center"/>
            <w:hideMark/>
          </w:tcPr>
          <w:p w14:paraId="5CE3B2EF" w14:textId="2EA65923" w:rsidR="00DC3E98" w:rsidRPr="00001223" w:rsidRDefault="00DC3E98" w:rsidP="00DC3E98">
            <w:pPr>
              <w:widowControl/>
              <w:autoSpaceDE/>
              <w:autoSpaceDN/>
              <w:jc w:val="right"/>
              <w:rPr>
                <w:rFonts w:eastAsia="Times New Roman"/>
                <w:i/>
                <w:iCs/>
                <w:color w:val="000000"/>
                <w:sz w:val="20"/>
                <w:szCs w:val="20"/>
              </w:rPr>
            </w:pPr>
            <w:r>
              <w:rPr>
                <w:i/>
                <w:iCs/>
                <w:color w:val="000000"/>
                <w:sz w:val="20"/>
                <w:szCs w:val="20"/>
              </w:rPr>
              <w:t>4.3</w:t>
            </w:r>
          </w:p>
        </w:tc>
      </w:tr>
      <w:tr w:rsidR="00DC3E98" w:rsidRPr="00001223" w14:paraId="723AF5B1" w14:textId="77777777" w:rsidTr="00F02E8D">
        <w:trPr>
          <w:trHeight w:val="300"/>
          <w:jc w:val="center"/>
        </w:trPr>
        <w:tc>
          <w:tcPr>
            <w:tcW w:w="1908" w:type="dxa"/>
            <w:tcBorders>
              <w:top w:val="nil"/>
              <w:left w:val="nil"/>
              <w:bottom w:val="nil"/>
              <w:right w:val="nil"/>
            </w:tcBorders>
            <w:shd w:val="clear" w:color="auto" w:fill="auto"/>
            <w:noWrap/>
            <w:vAlign w:val="center"/>
            <w:hideMark/>
          </w:tcPr>
          <w:p w14:paraId="10E9B9C3" w14:textId="7631424B" w:rsidR="00DC3E98" w:rsidRPr="00001223" w:rsidRDefault="00DC3E98" w:rsidP="00DC3E98">
            <w:pPr>
              <w:widowControl/>
              <w:autoSpaceDE/>
              <w:autoSpaceDN/>
              <w:rPr>
                <w:rFonts w:eastAsia="Times New Roman"/>
                <w:color w:val="000000"/>
                <w:sz w:val="20"/>
                <w:szCs w:val="20"/>
              </w:rPr>
            </w:pPr>
            <w:r>
              <w:rPr>
                <w:color w:val="000000"/>
                <w:sz w:val="20"/>
                <w:szCs w:val="20"/>
              </w:rPr>
              <w:t>Orange County</w:t>
            </w:r>
          </w:p>
        </w:tc>
        <w:tc>
          <w:tcPr>
            <w:tcW w:w="882" w:type="dxa"/>
            <w:tcBorders>
              <w:top w:val="nil"/>
              <w:left w:val="nil"/>
              <w:bottom w:val="nil"/>
              <w:right w:val="nil"/>
            </w:tcBorders>
            <w:shd w:val="clear" w:color="auto" w:fill="auto"/>
            <w:noWrap/>
            <w:vAlign w:val="center"/>
            <w:hideMark/>
          </w:tcPr>
          <w:p w14:paraId="718830F9" w14:textId="7067764E" w:rsidR="00DC3E98" w:rsidRPr="00001223" w:rsidRDefault="00DC3E98" w:rsidP="00DC3E98">
            <w:pPr>
              <w:widowControl/>
              <w:autoSpaceDE/>
              <w:autoSpaceDN/>
              <w:jc w:val="right"/>
              <w:rPr>
                <w:rFonts w:eastAsia="Times New Roman"/>
                <w:color w:val="000000"/>
                <w:sz w:val="20"/>
                <w:szCs w:val="20"/>
              </w:rPr>
            </w:pPr>
            <w:r>
              <w:rPr>
                <w:color w:val="000000"/>
                <w:sz w:val="20"/>
                <w:szCs w:val="20"/>
              </w:rPr>
              <w:t>4.0</w:t>
            </w:r>
          </w:p>
        </w:tc>
        <w:tc>
          <w:tcPr>
            <w:tcW w:w="810" w:type="dxa"/>
            <w:tcBorders>
              <w:top w:val="nil"/>
              <w:left w:val="nil"/>
              <w:bottom w:val="nil"/>
              <w:right w:val="nil"/>
            </w:tcBorders>
            <w:shd w:val="clear" w:color="auto" w:fill="auto"/>
            <w:noWrap/>
            <w:vAlign w:val="center"/>
            <w:hideMark/>
          </w:tcPr>
          <w:p w14:paraId="10CBB712" w14:textId="45F5AAF5" w:rsidR="00DC3E98" w:rsidRPr="00001223" w:rsidRDefault="00DC3E98" w:rsidP="00DC3E98">
            <w:pPr>
              <w:widowControl/>
              <w:autoSpaceDE/>
              <w:autoSpaceDN/>
              <w:jc w:val="right"/>
              <w:rPr>
                <w:rFonts w:eastAsia="Times New Roman"/>
                <w:color w:val="000000"/>
                <w:sz w:val="20"/>
                <w:szCs w:val="20"/>
              </w:rPr>
            </w:pPr>
            <w:r>
              <w:rPr>
                <w:color w:val="000000"/>
                <w:sz w:val="20"/>
                <w:szCs w:val="20"/>
              </w:rPr>
              <w:t>2.8</w:t>
            </w:r>
          </w:p>
        </w:tc>
      </w:tr>
      <w:tr w:rsidR="00DC3E98" w:rsidRPr="00001223" w14:paraId="1763A497" w14:textId="77777777" w:rsidTr="00F02E8D">
        <w:trPr>
          <w:trHeight w:val="300"/>
          <w:jc w:val="center"/>
        </w:trPr>
        <w:tc>
          <w:tcPr>
            <w:tcW w:w="1908" w:type="dxa"/>
            <w:tcBorders>
              <w:top w:val="nil"/>
              <w:left w:val="nil"/>
              <w:bottom w:val="nil"/>
              <w:right w:val="nil"/>
            </w:tcBorders>
            <w:shd w:val="clear" w:color="auto" w:fill="auto"/>
            <w:noWrap/>
            <w:vAlign w:val="center"/>
            <w:hideMark/>
          </w:tcPr>
          <w:p w14:paraId="5AF0846E" w14:textId="7ABF10F5" w:rsidR="00DC3E98" w:rsidRPr="00001223" w:rsidRDefault="00DC3E98" w:rsidP="00DC3E98">
            <w:pPr>
              <w:widowControl/>
              <w:autoSpaceDE/>
              <w:autoSpaceDN/>
              <w:rPr>
                <w:rFonts w:eastAsia="Times New Roman"/>
                <w:color w:val="000000"/>
                <w:sz w:val="20"/>
                <w:szCs w:val="20"/>
              </w:rPr>
            </w:pPr>
            <w:r>
              <w:rPr>
                <w:color w:val="000000"/>
                <w:sz w:val="20"/>
                <w:szCs w:val="20"/>
              </w:rPr>
              <w:t>Bay Area</w:t>
            </w:r>
          </w:p>
        </w:tc>
        <w:tc>
          <w:tcPr>
            <w:tcW w:w="882" w:type="dxa"/>
            <w:tcBorders>
              <w:top w:val="nil"/>
              <w:left w:val="nil"/>
              <w:bottom w:val="nil"/>
              <w:right w:val="nil"/>
            </w:tcBorders>
            <w:shd w:val="clear" w:color="auto" w:fill="auto"/>
            <w:noWrap/>
            <w:vAlign w:val="center"/>
            <w:hideMark/>
          </w:tcPr>
          <w:p w14:paraId="581556FC" w14:textId="3878B829" w:rsidR="00DC3E98" w:rsidRPr="00001223" w:rsidRDefault="00DC3E98" w:rsidP="00DC3E98">
            <w:pPr>
              <w:widowControl/>
              <w:autoSpaceDE/>
              <w:autoSpaceDN/>
              <w:jc w:val="right"/>
              <w:rPr>
                <w:rFonts w:eastAsia="Times New Roman"/>
                <w:color w:val="000000"/>
                <w:sz w:val="20"/>
                <w:szCs w:val="20"/>
              </w:rPr>
            </w:pPr>
            <w:r>
              <w:rPr>
                <w:color w:val="000000"/>
                <w:sz w:val="20"/>
                <w:szCs w:val="20"/>
              </w:rPr>
              <w:t>4.2</w:t>
            </w:r>
          </w:p>
        </w:tc>
        <w:tc>
          <w:tcPr>
            <w:tcW w:w="810" w:type="dxa"/>
            <w:tcBorders>
              <w:top w:val="nil"/>
              <w:left w:val="nil"/>
              <w:bottom w:val="nil"/>
              <w:right w:val="nil"/>
            </w:tcBorders>
            <w:shd w:val="clear" w:color="auto" w:fill="auto"/>
            <w:noWrap/>
            <w:vAlign w:val="center"/>
            <w:hideMark/>
          </w:tcPr>
          <w:p w14:paraId="45B6F862" w14:textId="027A8F6E" w:rsidR="00DC3E98" w:rsidRPr="00001223" w:rsidRDefault="00DC3E98" w:rsidP="00DC3E98">
            <w:pPr>
              <w:widowControl/>
              <w:autoSpaceDE/>
              <w:autoSpaceDN/>
              <w:jc w:val="right"/>
              <w:rPr>
                <w:rFonts w:eastAsia="Times New Roman"/>
                <w:color w:val="000000"/>
                <w:sz w:val="20"/>
                <w:szCs w:val="20"/>
              </w:rPr>
            </w:pPr>
            <w:r>
              <w:rPr>
                <w:color w:val="000000"/>
                <w:sz w:val="20"/>
                <w:szCs w:val="20"/>
              </w:rPr>
              <w:t>2.7</w:t>
            </w:r>
          </w:p>
        </w:tc>
      </w:tr>
      <w:tr w:rsidR="00DC3E98" w:rsidRPr="00001223" w14:paraId="63A2E873" w14:textId="77777777" w:rsidTr="00F02E8D">
        <w:trPr>
          <w:trHeight w:val="300"/>
          <w:jc w:val="center"/>
        </w:trPr>
        <w:tc>
          <w:tcPr>
            <w:tcW w:w="1908" w:type="dxa"/>
            <w:tcBorders>
              <w:top w:val="nil"/>
              <w:left w:val="nil"/>
              <w:bottom w:val="nil"/>
              <w:right w:val="nil"/>
            </w:tcBorders>
            <w:shd w:val="clear" w:color="auto" w:fill="auto"/>
            <w:noWrap/>
            <w:vAlign w:val="center"/>
            <w:hideMark/>
          </w:tcPr>
          <w:p w14:paraId="64ADF84A" w14:textId="6603B0F1" w:rsidR="00DC3E98" w:rsidRPr="00001223" w:rsidRDefault="00DC3E98" w:rsidP="00DC3E98">
            <w:pPr>
              <w:widowControl/>
              <w:autoSpaceDE/>
              <w:autoSpaceDN/>
              <w:rPr>
                <w:rFonts w:eastAsia="Times New Roman"/>
                <w:color w:val="000000"/>
                <w:sz w:val="20"/>
                <w:szCs w:val="20"/>
              </w:rPr>
            </w:pPr>
            <w:r>
              <w:rPr>
                <w:color w:val="000000"/>
                <w:sz w:val="20"/>
                <w:szCs w:val="20"/>
              </w:rPr>
              <w:t>Sacramento</w:t>
            </w:r>
          </w:p>
        </w:tc>
        <w:tc>
          <w:tcPr>
            <w:tcW w:w="882" w:type="dxa"/>
            <w:tcBorders>
              <w:top w:val="nil"/>
              <w:left w:val="nil"/>
              <w:bottom w:val="nil"/>
              <w:right w:val="nil"/>
            </w:tcBorders>
            <w:shd w:val="clear" w:color="auto" w:fill="auto"/>
            <w:noWrap/>
            <w:vAlign w:val="center"/>
            <w:hideMark/>
          </w:tcPr>
          <w:p w14:paraId="011B1B02" w14:textId="6447A345" w:rsidR="00DC3E98" w:rsidRPr="00001223" w:rsidRDefault="00DC3E98" w:rsidP="00DC3E98">
            <w:pPr>
              <w:widowControl/>
              <w:autoSpaceDE/>
              <w:autoSpaceDN/>
              <w:jc w:val="right"/>
              <w:rPr>
                <w:rFonts w:eastAsia="Times New Roman"/>
                <w:color w:val="000000"/>
                <w:sz w:val="20"/>
                <w:szCs w:val="20"/>
              </w:rPr>
            </w:pPr>
            <w:r>
              <w:rPr>
                <w:color w:val="000000"/>
                <w:sz w:val="20"/>
                <w:szCs w:val="20"/>
              </w:rPr>
              <w:t>4.7</w:t>
            </w:r>
          </w:p>
        </w:tc>
        <w:tc>
          <w:tcPr>
            <w:tcW w:w="810" w:type="dxa"/>
            <w:tcBorders>
              <w:top w:val="nil"/>
              <w:left w:val="nil"/>
              <w:bottom w:val="nil"/>
              <w:right w:val="nil"/>
            </w:tcBorders>
            <w:shd w:val="clear" w:color="auto" w:fill="auto"/>
            <w:noWrap/>
            <w:vAlign w:val="center"/>
            <w:hideMark/>
          </w:tcPr>
          <w:p w14:paraId="07E7D354" w14:textId="25BB829F" w:rsidR="00DC3E98" w:rsidRPr="00001223" w:rsidRDefault="00DC3E98" w:rsidP="00DC3E98">
            <w:pPr>
              <w:widowControl/>
              <w:autoSpaceDE/>
              <w:autoSpaceDN/>
              <w:jc w:val="right"/>
              <w:rPr>
                <w:rFonts w:eastAsia="Times New Roman"/>
                <w:color w:val="000000"/>
                <w:sz w:val="20"/>
                <w:szCs w:val="20"/>
              </w:rPr>
            </w:pPr>
            <w:r>
              <w:rPr>
                <w:color w:val="000000"/>
                <w:sz w:val="20"/>
                <w:szCs w:val="20"/>
              </w:rPr>
              <w:t>3.7</w:t>
            </w:r>
          </w:p>
        </w:tc>
      </w:tr>
      <w:tr w:rsidR="00DC3E98" w:rsidRPr="00001223" w14:paraId="0595F9ED" w14:textId="77777777" w:rsidTr="00F02E8D">
        <w:trPr>
          <w:trHeight w:val="300"/>
          <w:jc w:val="center"/>
        </w:trPr>
        <w:tc>
          <w:tcPr>
            <w:tcW w:w="1908" w:type="dxa"/>
            <w:tcBorders>
              <w:top w:val="nil"/>
              <w:left w:val="nil"/>
              <w:bottom w:val="nil"/>
              <w:right w:val="nil"/>
            </w:tcBorders>
            <w:shd w:val="clear" w:color="auto" w:fill="auto"/>
            <w:noWrap/>
            <w:vAlign w:val="center"/>
            <w:hideMark/>
          </w:tcPr>
          <w:p w14:paraId="7BBC6C30" w14:textId="71CE84DD" w:rsidR="00DC3E98" w:rsidRPr="00001223" w:rsidRDefault="00DC3E98" w:rsidP="00DC3E98">
            <w:pPr>
              <w:widowControl/>
              <w:autoSpaceDE/>
              <w:autoSpaceDN/>
              <w:rPr>
                <w:rFonts w:eastAsia="Times New Roman"/>
                <w:color w:val="000000"/>
                <w:sz w:val="20"/>
                <w:szCs w:val="20"/>
              </w:rPr>
            </w:pPr>
            <w:r>
              <w:rPr>
                <w:color w:val="000000"/>
                <w:sz w:val="20"/>
                <w:szCs w:val="20"/>
              </w:rPr>
              <w:t>Central Sierra</w:t>
            </w:r>
          </w:p>
        </w:tc>
        <w:tc>
          <w:tcPr>
            <w:tcW w:w="882" w:type="dxa"/>
            <w:tcBorders>
              <w:top w:val="nil"/>
              <w:left w:val="nil"/>
              <w:bottom w:val="nil"/>
              <w:right w:val="nil"/>
            </w:tcBorders>
            <w:shd w:val="clear" w:color="auto" w:fill="auto"/>
            <w:noWrap/>
            <w:vAlign w:val="center"/>
            <w:hideMark/>
          </w:tcPr>
          <w:p w14:paraId="068F5EE2" w14:textId="1E677FC5" w:rsidR="00DC3E98" w:rsidRPr="00001223" w:rsidRDefault="00DC3E98" w:rsidP="00DC3E98">
            <w:pPr>
              <w:widowControl/>
              <w:autoSpaceDE/>
              <w:autoSpaceDN/>
              <w:jc w:val="right"/>
              <w:rPr>
                <w:rFonts w:eastAsia="Times New Roman"/>
                <w:color w:val="000000"/>
                <w:sz w:val="20"/>
                <w:szCs w:val="20"/>
              </w:rPr>
            </w:pPr>
            <w:r>
              <w:rPr>
                <w:color w:val="000000"/>
                <w:sz w:val="20"/>
                <w:szCs w:val="20"/>
              </w:rPr>
              <w:t>4.8</w:t>
            </w:r>
          </w:p>
        </w:tc>
        <w:tc>
          <w:tcPr>
            <w:tcW w:w="810" w:type="dxa"/>
            <w:tcBorders>
              <w:top w:val="nil"/>
              <w:left w:val="nil"/>
              <w:bottom w:val="nil"/>
              <w:right w:val="nil"/>
            </w:tcBorders>
            <w:shd w:val="clear" w:color="auto" w:fill="auto"/>
            <w:noWrap/>
            <w:vAlign w:val="center"/>
            <w:hideMark/>
          </w:tcPr>
          <w:p w14:paraId="4537B7E1" w14:textId="464E4A43" w:rsidR="00DC3E98" w:rsidRPr="00001223" w:rsidRDefault="00DC3E98" w:rsidP="00DC3E98">
            <w:pPr>
              <w:widowControl/>
              <w:autoSpaceDE/>
              <w:autoSpaceDN/>
              <w:jc w:val="right"/>
              <w:rPr>
                <w:rFonts w:eastAsia="Times New Roman"/>
                <w:color w:val="000000"/>
                <w:sz w:val="20"/>
                <w:szCs w:val="20"/>
              </w:rPr>
            </w:pPr>
            <w:r>
              <w:rPr>
                <w:color w:val="000000"/>
                <w:sz w:val="20"/>
                <w:szCs w:val="20"/>
              </w:rPr>
              <w:t>4.5</w:t>
            </w:r>
          </w:p>
        </w:tc>
      </w:tr>
      <w:tr w:rsidR="00DC3E98" w:rsidRPr="00001223" w14:paraId="58F2A4A5" w14:textId="77777777" w:rsidTr="00F02E8D">
        <w:trPr>
          <w:trHeight w:val="300"/>
          <w:jc w:val="center"/>
        </w:trPr>
        <w:tc>
          <w:tcPr>
            <w:tcW w:w="1908" w:type="dxa"/>
            <w:tcBorders>
              <w:top w:val="nil"/>
              <w:left w:val="nil"/>
              <w:bottom w:val="nil"/>
              <w:right w:val="nil"/>
            </w:tcBorders>
            <w:shd w:val="clear" w:color="auto" w:fill="auto"/>
            <w:noWrap/>
            <w:vAlign w:val="center"/>
            <w:hideMark/>
          </w:tcPr>
          <w:p w14:paraId="65A19BA3" w14:textId="1105A57A" w:rsidR="00DC3E98" w:rsidRPr="00001223" w:rsidRDefault="00DC3E98" w:rsidP="00DC3E98">
            <w:pPr>
              <w:widowControl/>
              <w:autoSpaceDE/>
              <w:autoSpaceDN/>
              <w:rPr>
                <w:rFonts w:eastAsia="Times New Roman"/>
                <w:color w:val="000000"/>
                <w:sz w:val="20"/>
                <w:szCs w:val="20"/>
              </w:rPr>
            </w:pPr>
            <w:r>
              <w:rPr>
                <w:color w:val="000000"/>
                <w:sz w:val="20"/>
                <w:szCs w:val="20"/>
              </w:rPr>
              <w:t>Inland Empire</w:t>
            </w:r>
          </w:p>
        </w:tc>
        <w:tc>
          <w:tcPr>
            <w:tcW w:w="882" w:type="dxa"/>
            <w:tcBorders>
              <w:top w:val="nil"/>
              <w:left w:val="nil"/>
              <w:bottom w:val="nil"/>
              <w:right w:val="nil"/>
            </w:tcBorders>
            <w:shd w:val="clear" w:color="auto" w:fill="auto"/>
            <w:noWrap/>
            <w:vAlign w:val="center"/>
            <w:hideMark/>
          </w:tcPr>
          <w:p w14:paraId="03DCB24E" w14:textId="33BCEAF6" w:rsidR="00DC3E98" w:rsidRPr="00001223" w:rsidRDefault="00DC3E98" w:rsidP="00DC3E98">
            <w:pPr>
              <w:widowControl/>
              <w:autoSpaceDE/>
              <w:autoSpaceDN/>
              <w:jc w:val="right"/>
              <w:rPr>
                <w:rFonts w:eastAsia="Times New Roman"/>
                <w:color w:val="000000"/>
                <w:sz w:val="20"/>
                <w:szCs w:val="20"/>
              </w:rPr>
            </w:pPr>
            <w:r>
              <w:rPr>
                <w:color w:val="000000"/>
                <w:sz w:val="20"/>
                <w:szCs w:val="20"/>
              </w:rPr>
              <w:t>5.2</w:t>
            </w:r>
          </w:p>
        </w:tc>
        <w:tc>
          <w:tcPr>
            <w:tcW w:w="810" w:type="dxa"/>
            <w:tcBorders>
              <w:top w:val="nil"/>
              <w:left w:val="nil"/>
              <w:bottom w:val="nil"/>
              <w:right w:val="nil"/>
            </w:tcBorders>
            <w:shd w:val="clear" w:color="auto" w:fill="auto"/>
            <w:noWrap/>
            <w:vAlign w:val="center"/>
            <w:hideMark/>
          </w:tcPr>
          <w:p w14:paraId="44B11801" w14:textId="09A0AC3C" w:rsidR="00DC3E98" w:rsidRPr="00001223" w:rsidRDefault="00DC3E98" w:rsidP="00DC3E98">
            <w:pPr>
              <w:widowControl/>
              <w:autoSpaceDE/>
              <w:autoSpaceDN/>
              <w:jc w:val="right"/>
              <w:rPr>
                <w:rFonts w:eastAsia="Times New Roman"/>
                <w:color w:val="000000"/>
                <w:sz w:val="20"/>
                <w:szCs w:val="20"/>
              </w:rPr>
            </w:pPr>
            <w:r>
              <w:rPr>
                <w:color w:val="000000"/>
                <w:sz w:val="20"/>
                <w:szCs w:val="20"/>
              </w:rPr>
              <w:t>3.9</w:t>
            </w:r>
          </w:p>
        </w:tc>
      </w:tr>
      <w:tr w:rsidR="00DC3E98" w:rsidRPr="00001223" w14:paraId="251E09D8" w14:textId="77777777" w:rsidTr="00F02E8D">
        <w:trPr>
          <w:trHeight w:val="300"/>
          <w:jc w:val="center"/>
        </w:trPr>
        <w:tc>
          <w:tcPr>
            <w:tcW w:w="1908" w:type="dxa"/>
            <w:tcBorders>
              <w:top w:val="nil"/>
              <w:left w:val="nil"/>
              <w:bottom w:val="nil"/>
              <w:right w:val="nil"/>
            </w:tcBorders>
            <w:shd w:val="clear" w:color="auto" w:fill="auto"/>
            <w:noWrap/>
            <w:vAlign w:val="center"/>
            <w:hideMark/>
          </w:tcPr>
          <w:p w14:paraId="6FA33650" w14:textId="2B8CF1AC" w:rsidR="00DC3E98" w:rsidRPr="00001223" w:rsidRDefault="00DC3E98" w:rsidP="00DC3E98">
            <w:pPr>
              <w:widowControl/>
              <w:autoSpaceDE/>
              <w:autoSpaceDN/>
              <w:rPr>
                <w:rFonts w:eastAsia="Times New Roman"/>
                <w:color w:val="000000"/>
                <w:sz w:val="20"/>
                <w:szCs w:val="20"/>
              </w:rPr>
            </w:pPr>
            <w:r>
              <w:rPr>
                <w:color w:val="000000"/>
                <w:sz w:val="20"/>
                <w:szCs w:val="20"/>
              </w:rPr>
              <w:t>San Diego/Imperial</w:t>
            </w:r>
          </w:p>
        </w:tc>
        <w:tc>
          <w:tcPr>
            <w:tcW w:w="882" w:type="dxa"/>
            <w:tcBorders>
              <w:top w:val="nil"/>
              <w:left w:val="nil"/>
              <w:bottom w:val="nil"/>
              <w:right w:val="nil"/>
            </w:tcBorders>
            <w:shd w:val="clear" w:color="auto" w:fill="auto"/>
            <w:noWrap/>
            <w:vAlign w:val="center"/>
            <w:hideMark/>
          </w:tcPr>
          <w:p w14:paraId="63679C3D" w14:textId="421B9EF6" w:rsidR="00DC3E98" w:rsidRPr="00001223" w:rsidRDefault="00DC3E98" w:rsidP="00DC3E98">
            <w:pPr>
              <w:widowControl/>
              <w:autoSpaceDE/>
              <w:autoSpaceDN/>
              <w:jc w:val="right"/>
              <w:rPr>
                <w:rFonts w:eastAsia="Times New Roman"/>
                <w:color w:val="000000"/>
                <w:sz w:val="20"/>
                <w:szCs w:val="20"/>
              </w:rPr>
            </w:pPr>
            <w:r>
              <w:rPr>
                <w:color w:val="000000"/>
                <w:sz w:val="20"/>
                <w:szCs w:val="20"/>
              </w:rPr>
              <w:t>5.2</w:t>
            </w:r>
          </w:p>
        </w:tc>
        <w:tc>
          <w:tcPr>
            <w:tcW w:w="810" w:type="dxa"/>
            <w:tcBorders>
              <w:top w:val="nil"/>
              <w:left w:val="nil"/>
              <w:bottom w:val="nil"/>
              <w:right w:val="nil"/>
            </w:tcBorders>
            <w:shd w:val="clear" w:color="auto" w:fill="auto"/>
            <w:noWrap/>
            <w:vAlign w:val="center"/>
            <w:hideMark/>
          </w:tcPr>
          <w:p w14:paraId="18E1AFB2" w14:textId="0D15EFBC" w:rsidR="00DC3E98" w:rsidRPr="00001223" w:rsidRDefault="00DC3E98" w:rsidP="00DC3E98">
            <w:pPr>
              <w:widowControl/>
              <w:autoSpaceDE/>
              <w:autoSpaceDN/>
              <w:jc w:val="right"/>
              <w:rPr>
                <w:rFonts w:eastAsia="Times New Roman"/>
                <w:color w:val="000000"/>
                <w:sz w:val="20"/>
                <w:szCs w:val="20"/>
              </w:rPr>
            </w:pPr>
            <w:r>
              <w:rPr>
                <w:color w:val="000000"/>
                <w:sz w:val="20"/>
                <w:szCs w:val="20"/>
              </w:rPr>
              <w:t>3.8</w:t>
            </w:r>
          </w:p>
        </w:tc>
      </w:tr>
      <w:tr w:rsidR="00DC3E98" w:rsidRPr="00001223" w14:paraId="297A33E5" w14:textId="77777777" w:rsidTr="00F02E8D">
        <w:trPr>
          <w:trHeight w:val="300"/>
          <w:jc w:val="center"/>
        </w:trPr>
        <w:tc>
          <w:tcPr>
            <w:tcW w:w="1908" w:type="dxa"/>
            <w:tcBorders>
              <w:top w:val="nil"/>
              <w:left w:val="nil"/>
              <w:bottom w:val="nil"/>
              <w:right w:val="nil"/>
            </w:tcBorders>
            <w:shd w:val="clear" w:color="auto" w:fill="auto"/>
            <w:noWrap/>
            <w:vAlign w:val="center"/>
            <w:hideMark/>
          </w:tcPr>
          <w:p w14:paraId="0C6C7691" w14:textId="561081D6" w:rsidR="00DC3E98" w:rsidRPr="00001223" w:rsidRDefault="00DC3E98" w:rsidP="00DC3E98">
            <w:pPr>
              <w:widowControl/>
              <w:autoSpaceDE/>
              <w:autoSpaceDN/>
              <w:rPr>
                <w:rFonts w:eastAsia="Times New Roman"/>
                <w:color w:val="000000"/>
                <w:sz w:val="20"/>
                <w:szCs w:val="20"/>
              </w:rPr>
            </w:pPr>
            <w:r>
              <w:rPr>
                <w:color w:val="000000"/>
                <w:sz w:val="20"/>
                <w:szCs w:val="20"/>
              </w:rPr>
              <w:t>Central Coast</w:t>
            </w:r>
          </w:p>
        </w:tc>
        <w:tc>
          <w:tcPr>
            <w:tcW w:w="882" w:type="dxa"/>
            <w:tcBorders>
              <w:top w:val="nil"/>
              <w:left w:val="nil"/>
              <w:bottom w:val="nil"/>
              <w:right w:val="nil"/>
            </w:tcBorders>
            <w:shd w:val="clear" w:color="auto" w:fill="auto"/>
            <w:noWrap/>
            <w:vAlign w:val="center"/>
            <w:hideMark/>
          </w:tcPr>
          <w:p w14:paraId="380D5D03" w14:textId="2A1AE4AD" w:rsidR="00DC3E98" w:rsidRPr="00001223" w:rsidRDefault="00DC3E98" w:rsidP="00DC3E98">
            <w:pPr>
              <w:widowControl/>
              <w:autoSpaceDE/>
              <w:autoSpaceDN/>
              <w:jc w:val="right"/>
              <w:rPr>
                <w:rFonts w:eastAsia="Times New Roman"/>
                <w:color w:val="000000"/>
                <w:sz w:val="20"/>
                <w:szCs w:val="20"/>
              </w:rPr>
            </w:pPr>
            <w:r>
              <w:rPr>
                <w:color w:val="000000"/>
                <w:sz w:val="20"/>
                <w:szCs w:val="20"/>
              </w:rPr>
              <w:t>5.4</w:t>
            </w:r>
          </w:p>
        </w:tc>
        <w:tc>
          <w:tcPr>
            <w:tcW w:w="810" w:type="dxa"/>
            <w:tcBorders>
              <w:top w:val="nil"/>
              <w:left w:val="nil"/>
              <w:bottom w:val="nil"/>
              <w:right w:val="nil"/>
            </w:tcBorders>
            <w:shd w:val="clear" w:color="auto" w:fill="auto"/>
            <w:noWrap/>
            <w:vAlign w:val="center"/>
            <w:hideMark/>
          </w:tcPr>
          <w:p w14:paraId="73B608BD" w14:textId="3E152EFE" w:rsidR="00DC3E98" w:rsidRPr="00001223" w:rsidRDefault="00DC3E98" w:rsidP="00DC3E98">
            <w:pPr>
              <w:widowControl/>
              <w:autoSpaceDE/>
              <w:autoSpaceDN/>
              <w:jc w:val="right"/>
              <w:rPr>
                <w:rFonts w:eastAsia="Times New Roman"/>
                <w:color w:val="000000"/>
                <w:sz w:val="20"/>
                <w:szCs w:val="20"/>
              </w:rPr>
            </w:pPr>
            <w:r>
              <w:rPr>
                <w:color w:val="000000"/>
                <w:sz w:val="20"/>
                <w:szCs w:val="20"/>
              </w:rPr>
              <w:t>7.0</w:t>
            </w:r>
          </w:p>
        </w:tc>
      </w:tr>
      <w:tr w:rsidR="00DC3E98" w:rsidRPr="00001223" w14:paraId="4B17AB36" w14:textId="77777777" w:rsidTr="00F02E8D">
        <w:trPr>
          <w:trHeight w:val="300"/>
          <w:jc w:val="center"/>
        </w:trPr>
        <w:tc>
          <w:tcPr>
            <w:tcW w:w="1908" w:type="dxa"/>
            <w:tcBorders>
              <w:top w:val="nil"/>
              <w:left w:val="nil"/>
              <w:bottom w:val="nil"/>
              <w:right w:val="nil"/>
            </w:tcBorders>
            <w:shd w:val="clear" w:color="auto" w:fill="auto"/>
            <w:noWrap/>
            <w:vAlign w:val="center"/>
            <w:hideMark/>
          </w:tcPr>
          <w:p w14:paraId="5025AE22" w14:textId="3BAD2F32" w:rsidR="00DC3E98" w:rsidRPr="00001223" w:rsidRDefault="00DC3E98" w:rsidP="00DC3E98">
            <w:pPr>
              <w:widowControl/>
              <w:autoSpaceDE/>
              <w:autoSpaceDN/>
              <w:rPr>
                <w:rFonts w:eastAsia="Times New Roman"/>
                <w:color w:val="000000"/>
                <w:sz w:val="20"/>
                <w:szCs w:val="20"/>
              </w:rPr>
            </w:pPr>
            <w:r>
              <w:rPr>
                <w:color w:val="000000"/>
                <w:sz w:val="20"/>
                <w:szCs w:val="20"/>
              </w:rPr>
              <w:t>Los Angeles</w:t>
            </w:r>
          </w:p>
        </w:tc>
        <w:tc>
          <w:tcPr>
            <w:tcW w:w="882" w:type="dxa"/>
            <w:tcBorders>
              <w:top w:val="nil"/>
              <w:left w:val="nil"/>
              <w:bottom w:val="nil"/>
              <w:right w:val="nil"/>
            </w:tcBorders>
            <w:shd w:val="clear" w:color="auto" w:fill="auto"/>
            <w:noWrap/>
            <w:vAlign w:val="center"/>
            <w:hideMark/>
          </w:tcPr>
          <w:p w14:paraId="5096354D" w14:textId="3C846A2D" w:rsidR="00DC3E98" w:rsidRPr="00001223" w:rsidRDefault="00DC3E98" w:rsidP="00DC3E98">
            <w:pPr>
              <w:widowControl/>
              <w:autoSpaceDE/>
              <w:autoSpaceDN/>
              <w:jc w:val="right"/>
              <w:rPr>
                <w:rFonts w:eastAsia="Times New Roman"/>
                <w:color w:val="000000"/>
                <w:sz w:val="20"/>
                <w:szCs w:val="20"/>
              </w:rPr>
            </w:pPr>
            <w:r>
              <w:rPr>
                <w:color w:val="000000"/>
                <w:sz w:val="20"/>
                <w:szCs w:val="20"/>
              </w:rPr>
              <w:t>5.7</w:t>
            </w:r>
          </w:p>
        </w:tc>
        <w:tc>
          <w:tcPr>
            <w:tcW w:w="810" w:type="dxa"/>
            <w:tcBorders>
              <w:top w:val="nil"/>
              <w:left w:val="nil"/>
              <w:bottom w:val="nil"/>
              <w:right w:val="nil"/>
            </w:tcBorders>
            <w:shd w:val="clear" w:color="auto" w:fill="auto"/>
            <w:noWrap/>
            <w:vAlign w:val="center"/>
            <w:hideMark/>
          </w:tcPr>
          <w:p w14:paraId="2D87BAD8" w14:textId="355A7C5A" w:rsidR="00DC3E98" w:rsidRPr="00001223" w:rsidRDefault="00DC3E98" w:rsidP="00DC3E98">
            <w:pPr>
              <w:widowControl/>
              <w:autoSpaceDE/>
              <w:autoSpaceDN/>
              <w:jc w:val="right"/>
              <w:rPr>
                <w:rFonts w:eastAsia="Times New Roman"/>
                <w:color w:val="000000"/>
                <w:sz w:val="20"/>
                <w:szCs w:val="20"/>
              </w:rPr>
            </w:pPr>
            <w:r>
              <w:rPr>
                <w:color w:val="000000"/>
                <w:sz w:val="20"/>
                <w:szCs w:val="20"/>
              </w:rPr>
              <w:t>4.3</w:t>
            </w:r>
          </w:p>
        </w:tc>
      </w:tr>
      <w:tr w:rsidR="00DC3E98" w:rsidRPr="00001223" w14:paraId="1BC92010" w14:textId="77777777" w:rsidTr="00F02E8D">
        <w:trPr>
          <w:trHeight w:val="315"/>
          <w:jc w:val="center"/>
        </w:trPr>
        <w:tc>
          <w:tcPr>
            <w:tcW w:w="1908" w:type="dxa"/>
            <w:tcBorders>
              <w:top w:val="nil"/>
              <w:left w:val="nil"/>
              <w:bottom w:val="nil"/>
              <w:right w:val="nil"/>
            </w:tcBorders>
            <w:shd w:val="clear" w:color="auto" w:fill="auto"/>
            <w:noWrap/>
            <w:vAlign w:val="center"/>
            <w:hideMark/>
          </w:tcPr>
          <w:p w14:paraId="6610200A" w14:textId="1213B330" w:rsidR="00DC3E98" w:rsidRPr="00001223" w:rsidRDefault="00DC3E98" w:rsidP="00DC3E98">
            <w:pPr>
              <w:widowControl/>
              <w:autoSpaceDE/>
              <w:autoSpaceDN/>
              <w:rPr>
                <w:rFonts w:eastAsia="Times New Roman"/>
                <w:color w:val="000000"/>
                <w:sz w:val="20"/>
                <w:szCs w:val="20"/>
              </w:rPr>
            </w:pPr>
            <w:r>
              <w:rPr>
                <w:color w:val="000000"/>
                <w:sz w:val="20"/>
                <w:szCs w:val="20"/>
              </w:rPr>
              <w:t>Upstate California</w:t>
            </w:r>
          </w:p>
        </w:tc>
        <w:tc>
          <w:tcPr>
            <w:tcW w:w="882" w:type="dxa"/>
            <w:tcBorders>
              <w:top w:val="nil"/>
              <w:left w:val="nil"/>
              <w:bottom w:val="nil"/>
              <w:right w:val="nil"/>
            </w:tcBorders>
            <w:shd w:val="clear" w:color="auto" w:fill="auto"/>
            <w:noWrap/>
            <w:vAlign w:val="center"/>
            <w:hideMark/>
          </w:tcPr>
          <w:p w14:paraId="13AA0F47" w14:textId="2D92D0AF" w:rsidR="00DC3E98" w:rsidRPr="00001223" w:rsidRDefault="00DC3E98" w:rsidP="00DC3E98">
            <w:pPr>
              <w:widowControl/>
              <w:autoSpaceDE/>
              <w:autoSpaceDN/>
              <w:jc w:val="right"/>
              <w:rPr>
                <w:rFonts w:eastAsia="Times New Roman"/>
                <w:color w:val="000000"/>
                <w:sz w:val="20"/>
                <w:szCs w:val="20"/>
              </w:rPr>
            </w:pPr>
            <w:r>
              <w:rPr>
                <w:color w:val="000000"/>
                <w:sz w:val="20"/>
                <w:szCs w:val="20"/>
              </w:rPr>
              <w:t>5.9</w:t>
            </w:r>
          </w:p>
        </w:tc>
        <w:tc>
          <w:tcPr>
            <w:tcW w:w="810" w:type="dxa"/>
            <w:tcBorders>
              <w:top w:val="nil"/>
              <w:left w:val="nil"/>
              <w:bottom w:val="nil"/>
              <w:right w:val="nil"/>
            </w:tcBorders>
            <w:shd w:val="clear" w:color="auto" w:fill="auto"/>
            <w:noWrap/>
            <w:vAlign w:val="center"/>
            <w:hideMark/>
          </w:tcPr>
          <w:p w14:paraId="7E18E2FE" w14:textId="1DCB4FA7" w:rsidR="00DC3E98" w:rsidRPr="00001223" w:rsidRDefault="00DC3E98" w:rsidP="00DC3E98">
            <w:pPr>
              <w:widowControl/>
              <w:autoSpaceDE/>
              <w:autoSpaceDN/>
              <w:jc w:val="right"/>
              <w:rPr>
                <w:rFonts w:eastAsia="Times New Roman"/>
                <w:color w:val="000000"/>
                <w:sz w:val="20"/>
                <w:szCs w:val="20"/>
              </w:rPr>
            </w:pPr>
            <w:r>
              <w:rPr>
                <w:color w:val="000000"/>
                <w:sz w:val="20"/>
                <w:szCs w:val="20"/>
              </w:rPr>
              <w:t>6.3</w:t>
            </w:r>
          </w:p>
        </w:tc>
      </w:tr>
      <w:tr w:rsidR="00DC3E98" w:rsidRPr="00001223" w14:paraId="22922203" w14:textId="77777777" w:rsidTr="00F02E8D">
        <w:trPr>
          <w:trHeight w:val="315"/>
          <w:jc w:val="center"/>
        </w:trPr>
        <w:tc>
          <w:tcPr>
            <w:tcW w:w="1908" w:type="dxa"/>
            <w:tcBorders>
              <w:top w:val="nil"/>
              <w:left w:val="nil"/>
              <w:bottom w:val="single" w:sz="8" w:space="0" w:color="auto"/>
              <w:right w:val="nil"/>
            </w:tcBorders>
            <w:shd w:val="clear" w:color="auto" w:fill="auto"/>
            <w:noWrap/>
            <w:vAlign w:val="center"/>
            <w:hideMark/>
          </w:tcPr>
          <w:p w14:paraId="0DDFCDF9" w14:textId="01F4E37F" w:rsidR="00DC3E98" w:rsidRPr="00001223" w:rsidRDefault="00DC3E98" w:rsidP="00DC3E98">
            <w:pPr>
              <w:widowControl/>
              <w:autoSpaceDE/>
              <w:autoSpaceDN/>
              <w:rPr>
                <w:rFonts w:eastAsia="Times New Roman"/>
                <w:color w:val="000000"/>
                <w:sz w:val="20"/>
                <w:szCs w:val="20"/>
              </w:rPr>
            </w:pPr>
            <w:r>
              <w:rPr>
                <w:color w:val="000000"/>
                <w:sz w:val="20"/>
                <w:szCs w:val="20"/>
              </w:rPr>
              <w:t>Central Valley</w:t>
            </w:r>
          </w:p>
        </w:tc>
        <w:tc>
          <w:tcPr>
            <w:tcW w:w="882" w:type="dxa"/>
            <w:tcBorders>
              <w:top w:val="nil"/>
              <w:left w:val="nil"/>
              <w:bottom w:val="single" w:sz="8" w:space="0" w:color="auto"/>
              <w:right w:val="nil"/>
            </w:tcBorders>
            <w:shd w:val="clear" w:color="auto" w:fill="auto"/>
            <w:noWrap/>
            <w:vAlign w:val="center"/>
            <w:hideMark/>
          </w:tcPr>
          <w:p w14:paraId="5DED79DC" w14:textId="5A876286" w:rsidR="00DC3E98" w:rsidRPr="00001223" w:rsidRDefault="00DC3E98" w:rsidP="00DC3E98">
            <w:pPr>
              <w:widowControl/>
              <w:autoSpaceDE/>
              <w:autoSpaceDN/>
              <w:jc w:val="right"/>
              <w:rPr>
                <w:rFonts w:eastAsia="Times New Roman"/>
                <w:color w:val="000000"/>
                <w:sz w:val="20"/>
                <w:szCs w:val="20"/>
              </w:rPr>
            </w:pPr>
            <w:r>
              <w:rPr>
                <w:color w:val="000000"/>
                <w:sz w:val="20"/>
                <w:szCs w:val="20"/>
              </w:rPr>
              <w:t>7.7</w:t>
            </w:r>
          </w:p>
        </w:tc>
        <w:tc>
          <w:tcPr>
            <w:tcW w:w="810" w:type="dxa"/>
            <w:tcBorders>
              <w:top w:val="nil"/>
              <w:left w:val="nil"/>
              <w:bottom w:val="single" w:sz="8" w:space="0" w:color="auto"/>
              <w:right w:val="nil"/>
            </w:tcBorders>
            <w:shd w:val="clear" w:color="auto" w:fill="auto"/>
            <w:noWrap/>
            <w:vAlign w:val="center"/>
            <w:hideMark/>
          </w:tcPr>
          <w:p w14:paraId="7A68D3CC" w14:textId="7F254714" w:rsidR="00DC3E98" w:rsidRPr="00001223" w:rsidRDefault="00DC3E98" w:rsidP="00DC3E98">
            <w:pPr>
              <w:widowControl/>
              <w:autoSpaceDE/>
              <w:autoSpaceDN/>
              <w:jc w:val="right"/>
              <w:rPr>
                <w:rFonts w:eastAsia="Times New Roman"/>
                <w:color w:val="000000"/>
                <w:sz w:val="20"/>
                <w:szCs w:val="20"/>
              </w:rPr>
            </w:pPr>
            <w:r>
              <w:rPr>
                <w:color w:val="000000"/>
                <w:sz w:val="20"/>
                <w:szCs w:val="20"/>
              </w:rPr>
              <w:t>8.4</w:t>
            </w:r>
          </w:p>
        </w:tc>
      </w:tr>
    </w:tbl>
    <w:p w14:paraId="5B2F8BF4" w14:textId="77777777" w:rsidR="00CF42EE" w:rsidRPr="0023248A" w:rsidRDefault="00CF42EE" w:rsidP="00CF42EE">
      <w:pPr>
        <w:jc w:val="center"/>
        <w:rPr>
          <w:rFonts w:cstheme="minorHAnsi"/>
        </w:rPr>
      </w:pPr>
    </w:p>
    <w:p w14:paraId="4A18F8B1" w14:textId="77777777" w:rsidR="00CF42EE" w:rsidRPr="0023248A" w:rsidRDefault="00CF42EE" w:rsidP="00CF42EE">
      <w:pPr>
        <w:rPr>
          <w:rFonts w:cstheme="minorHAnsi"/>
          <w:i/>
          <w:sz w:val="16"/>
          <w:szCs w:val="16"/>
        </w:rPr>
      </w:pPr>
    </w:p>
    <w:p w14:paraId="3B096B1A" w14:textId="77777777" w:rsidR="00CF42EE" w:rsidRDefault="00CF42EE" w:rsidP="00CF42EE">
      <w:pPr>
        <w:rPr>
          <w:b/>
          <w:sz w:val="20"/>
          <w:szCs w:val="20"/>
        </w:rPr>
      </w:pPr>
      <w:r>
        <w:rPr>
          <w:b/>
          <w:sz w:val="28"/>
        </w:rPr>
        <w:t xml:space="preserve">Counties with Double-Digit Unemployment </w:t>
      </w:r>
    </w:p>
    <w:p w14:paraId="735EA540" w14:textId="77777777" w:rsidR="00CF42EE" w:rsidRPr="009210A7" w:rsidRDefault="00CF42EE" w:rsidP="00CF42EE">
      <w:pPr>
        <w:spacing w:before="240"/>
        <w:ind w:left="100"/>
        <w:rPr>
          <w:b/>
          <w:sz w:val="20"/>
          <w:szCs w:val="20"/>
        </w:rPr>
      </w:pPr>
    </w:p>
    <w:tbl>
      <w:tblPr>
        <w:tblW w:w="0" w:type="auto"/>
        <w:tblInd w:w="1001" w:type="dxa"/>
        <w:tblLayout w:type="fixed"/>
        <w:tblCellMar>
          <w:left w:w="0" w:type="dxa"/>
          <w:right w:w="0" w:type="dxa"/>
        </w:tblCellMar>
        <w:tblLook w:val="01E0" w:firstRow="1" w:lastRow="1" w:firstColumn="1" w:lastColumn="1" w:noHBand="0" w:noVBand="0"/>
      </w:tblPr>
      <w:tblGrid>
        <w:gridCol w:w="2239"/>
        <w:gridCol w:w="6097"/>
      </w:tblGrid>
      <w:tr w:rsidR="00CF42EE" w14:paraId="75C3731B" w14:textId="77777777" w:rsidTr="00F02E8D">
        <w:trPr>
          <w:trHeight w:val="1401"/>
        </w:trPr>
        <w:tc>
          <w:tcPr>
            <w:tcW w:w="2239" w:type="dxa"/>
          </w:tcPr>
          <w:p w14:paraId="10F67C2B" w14:textId="23D3FF9F" w:rsidR="00CF42EE" w:rsidRPr="00DC3E98" w:rsidRDefault="00DC3E98" w:rsidP="00F02E8D">
            <w:pPr>
              <w:pStyle w:val="TableParagraph"/>
              <w:spacing w:line="672" w:lineRule="exact"/>
              <w:ind w:left="50"/>
              <w:jc w:val="center"/>
              <w:rPr>
                <w:b/>
                <w:color w:val="FF0000"/>
                <w:sz w:val="66"/>
              </w:rPr>
            </w:pPr>
            <w:r w:rsidRPr="00DC3E98">
              <w:rPr>
                <w:b/>
                <w:color w:val="FF0000"/>
                <w:spacing w:val="-2"/>
                <w:sz w:val="66"/>
              </w:rPr>
              <w:t>3</w:t>
            </w:r>
          </w:p>
          <w:p w14:paraId="5B063118" w14:textId="77777777" w:rsidR="00CF42EE" w:rsidRDefault="00CF42EE" w:rsidP="00F02E8D">
            <w:pPr>
              <w:pStyle w:val="TableParagraph"/>
              <w:spacing w:before="2"/>
              <w:ind w:left="0" w:right="117"/>
              <w:jc w:val="center"/>
              <w:rPr>
                <w:b/>
                <w:sz w:val="20"/>
              </w:rPr>
            </w:pPr>
            <w:r>
              <w:rPr>
                <w:b/>
                <w:sz w:val="20"/>
              </w:rPr>
              <w:t>Counties with Unemployment Above 10%</w:t>
            </w:r>
          </w:p>
          <w:p w14:paraId="17965DC2" w14:textId="77777777" w:rsidR="00CF42EE" w:rsidRDefault="00CF42EE" w:rsidP="00F02E8D">
            <w:pPr>
              <w:pStyle w:val="TableParagraph"/>
              <w:spacing w:line="219" w:lineRule="exact"/>
              <w:ind w:left="71"/>
              <w:rPr>
                <w:b/>
                <w:sz w:val="20"/>
              </w:rPr>
            </w:pPr>
          </w:p>
        </w:tc>
        <w:tc>
          <w:tcPr>
            <w:tcW w:w="6097" w:type="dxa"/>
          </w:tcPr>
          <w:p w14:paraId="7E978E80" w14:textId="489CC4B4" w:rsidR="00CF42EE" w:rsidRPr="00E47ACD" w:rsidRDefault="00CF42EE" w:rsidP="00F02E8D">
            <w:pPr>
              <w:pStyle w:val="TableParagraph"/>
              <w:spacing w:before="98"/>
              <w:ind w:left="527"/>
            </w:pPr>
            <w:r w:rsidRPr="00E47ACD">
              <w:t xml:space="preserve">The number of counties with an unemployment rate </w:t>
            </w:r>
            <w:r>
              <w:t xml:space="preserve">(not seasonally adjusted) </w:t>
            </w:r>
            <w:r w:rsidRPr="00E47ACD">
              <w:t xml:space="preserve">at 10% or </w:t>
            </w:r>
            <w:r>
              <w:t xml:space="preserve">more edged </w:t>
            </w:r>
            <w:r w:rsidR="00DC3E98">
              <w:t>up to 3</w:t>
            </w:r>
            <w:r w:rsidRPr="00E47ACD">
              <w:t xml:space="preserve">. The unadjusted rates ranged from </w:t>
            </w:r>
            <w:r w:rsidR="00DC3E98">
              <w:t>3.5</w:t>
            </w:r>
            <w:r w:rsidRPr="00E47ACD">
              <w:t>% in San Mateo</w:t>
            </w:r>
            <w:r>
              <w:t xml:space="preserve"> </w:t>
            </w:r>
            <w:r w:rsidRPr="00E47ACD">
              <w:t xml:space="preserve">to </w:t>
            </w:r>
            <w:r w:rsidR="00DC3E98">
              <w:t>19.0</w:t>
            </w:r>
            <w:r w:rsidRPr="00E47ACD">
              <w:t xml:space="preserve">% in </w:t>
            </w:r>
            <w:r>
              <w:t>Imperial</w:t>
            </w:r>
            <w:r w:rsidRPr="00E47ACD">
              <w:t>.</w:t>
            </w:r>
          </w:p>
          <w:p w14:paraId="1742B917" w14:textId="77777777" w:rsidR="00CF42EE" w:rsidRDefault="00CF42EE" w:rsidP="00F02E8D">
            <w:pPr>
              <w:pStyle w:val="TableParagraph"/>
              <w:spacing w:before="98"/>
              <w:ind w:left="527"/>
            </w:pPr>
          </w:p>
        </w:tc>
      </w:tr>
    </w:tbl>
    <w:p w14:paraId="6623C526" w14:textId="77777777" w:rsidR="00CF42EE" w:rsidRDefault="00CF42EE" w:rsidP="00CF42EE">
      <w:pPr>
        <w:pStyle w:val="BodyText"/>
        <w:rPr>
          <w:b/>
          <w:sz w:val="20"/>
        </w:rPr>
      </w:pPr>
    </w:p>
    <w:p w14:paraId="395E8588" w14:textId="77777777" w:rsidR="00CF42EE" w:rsidRDefault="00CF42EE" w:rsidP="00CF42EE">
      <w:pPr>
        <w:pStyle w:val="BodyText"/>
        <w:rPr>
          <w:b/>
          <w:sz w:val="20"/>
        </w:rPr>
      </w:pPr>
    </w:p>
    <w:p w14:paraId="7A358A4B" w14:textId="77777777" w:rsidR="00CF42EE" w:rsidRPr="00535BD0" w:rsidRDefault="00CF42EE" w:rsidP="00CF42EE">
      <w:pPr>
        <w:pStyle w:val="BodyText"/>
        <w:rPr>
          <w:b/>
          <w:sz w:val="20"/>
        </w:rPr>
      </w:pPr>
      <w:r w:rsidRPr="00535BD0">
        <w:rPr>
          <w:b/>
          <w:sz w:val="20"/>
        </w:rPr>
        <w:t>Unemployment Rate by Legislative District</w:t>
      </w:r>
    </w:p>
    <w:p w14:paraId="730761EB" w14:textId="77777777" w:rsidR="00CF42EE" w:rsidRPr="00535BD0" w:rsidRDefault="00CF42EE" w:rsidP="00CF42EE">
      <w:pPr>
        <w:pStyle w:val="BodyText"/>
        <w:rPr>
          <w:b/>
          <w:sz w:val="20"/>
        </w:rPr>
      </w:pPr>
    </w:p>
    <w:p w14:paraId="7D446C2E" w14:textId="1BD80946" w:rsidR="00CF42EE" w:rsidRDefault="00CF42EE" w:rsidP="00CF42EE">
      <w:pPr>
        <w:pStyle w:val="BodyText"/>
        <w:rPr>
          <w:bCs/>
          <w:sz w:val="20"/>
        </w:rPr>
      </w:pPr>
      <w:r w:rsidRPr="00535BD0">
        <w:rPr>
          <w:bCs/>
          <w:sz w:val="20"/>
        </w:rPr>
        <w:t>The estimated unemployment rates</w:t>
      </w:r>
      <w:r w:rsidR="001C7EE8">
        <w:rPr>
          <w:bCs/>
          <w:sz w:val="20"/>
        </w:rPr>
        <w:t xml:space="preserve"> (not seasonally adjusted)</w:t>
      </w:r>
      <w:r w:rsidRPr="00535BD0">
        <w:rPr>
          <w:bCs/>
          <w:sz w:val="20"/>
        </w:rPr>
        <w:t xml:space="preserve"> are shown below for the highest and lowest districts.  The </w:t>
      </w:r>
      <w:r w:rsidRPr="00535BD0">
        <w:rPr>
          <w:bCs/>
          <w:sz w:val="20"/>
        </w:rPr>
        <w:lastRenderedPageBreak/>
        <w:t>full data and methodology are available on the Center’s website.</w:t>
      </w:r>
    </w:p>
    <w:p w14:paraId="44F70BA2" w14:textId="77777777" w:rsidR="00CF42EE" w:rsidRDefault="00CF42EE" w:rsidP="00CF42EE">
      <w:pPr>
        <w:pStyle w:val="BodyText"/>
        <w:rPr>
          <w:bCs/>
          <w:sz w:val="20"/>
        </w:rPr>
      </w:pPr>
    </w:p>
    <w:tbl>
      <w:tblPr>
        <w:tblW w:w="10192" w:type="dxa"/>
        <w:tblLook w:val="04A0" w:firstRow="1" w:lastRow="0" w:firstColumn="1" w:lastColumn="0" w:noHBand="0" w:noVBand="1"/>
      </w:tblPr>
      <w:tblGrid>
        <w:gridCol w:w="976"/>
        <w:gridCol w:w="2096"/>
        <w:gridCol w:w="976"/>
        <w:gridCol w:w="2096"/>
        <w:gridCol w:w="976"/>
        <w:gridCol w:w="2096"/>
        <w:gridCol w:w="976"/>
      </w:tblGrid>
      <w:tr w:rsidR="00FE183F" w:rsidRPr="00B74998" w14:paraId="5C96A5EE" w14:textId="77777777" w:rsidTr="00F02E8D">
        <w:trPr>
          <w:trHeight w:val="300"/>
        </w:trPr>
        <w:tc>
          <w:tcPr>
            <w:tcW w:w="976" w:type="dxa"/>
            <w:tcBorders>
              <w:top w:val="nil"/>
              <w:left w:val="nil"/>
              <w:bottom w:val="nil"/>
              <w:right w:val="nil"/>
            </w:tcBorders>
            <w:shd w:val="clear" w:color="auto" w:fill="auto"/>
            <w:noWrap/>
            <w:vAlign w:val="bottom"/>
            <w:hideMark/>
          </w:tcPr>
          <w:p w14:paraId="5486277B" w14:textId="77777777" w:rsidR="00FE183F" w:rsidRPr="00B74998" w:rsidRDefault="00FE183F" w:rsidP="00FE183F">
            <w:pPr>
              <w:widowControl/>
              <w:autoSpaceDE/>
              <w:autoSpaceDN/>
              <w:rPr>
                <w:rFonts w:eastAsia="Times New Roman"/>
                <w:color w:val="000000"/>
              </w:rPr>
            </w:pPr>
            <w:r w:rsidRPr="00B74998">
              <w:rPr>
                <w:rFonts w:eastAsia="Times New Roman"/>
                <w:color w:val="000000"/>
              </w:rPr>
              <w:t>Lowest</w:t>
            </w:r>
          </w:p>
        </w:tc>
        <w:tc>
          <w:tcPr>
            <w:tcW w:w="2096" w:type="dxa"/>
            <w:tcBorders>
              <w:top w:val="nil"/>
              <w:left w:val="nil"/>
              <w:bottom w:val="nil"/>
              <w:right w:val="nil"/>
            </w:tcBorders>
            <w:shd w:val="clear" w:color="auto" w:fill="auto"/>
            <w:noWrap/>
            <w:vAlign w:val="bottom"/>
            <w:hideMark/>
          </w:tcPr>
          <w:p w14:paraId="39A58D86" w14:textId="50C1AA5E" w:rsidR="00FE183F" w:rsidRPr="00B74998" w:rsidRDefault="00FE183F" w:rsidP="00FE183F">
            <w:pPr>
              <w:widowControl/>
              <w:autoSpaceDE/>
              <w:autoSpaceDN/>
              <w:rPr>
                <w:rFonts w:eastAsia="Times New Roman"/>
                <w:color w:val="000000"/>
                <w:sz w:val="18"/>
                <w:szCs w:val="18"/>
              </w:rPr>
            </w:pPr>
            <w:r>
              <w:rPr>
                <w:color w:val="000000"/>
                <w:sz w:val="18"/>
                <w:szCs w:val="18"/>
              </w:rPr>
              <w:t>CD11 Pelosi (D)</w:t>
            </w:r>
          </w:p>
        </w:tc>
        <w:tc>
          <w:tcPr>
            <w:tcW w:w="976" w:type="dxa"/>
            <w:tcBorders>
              <w:top w:val="nil"/>
              <w:left w:val="nil"/>
              <w:bottom w:val="nil"/>
              <w:right w:val="nil"/>
            </w:tcBorders>
            <w:shd w:val="clear" w:color="auto" w:fill="auto"/>
            <w:noWrap/>
            <w:vAlign w:val="bottom"/>
            <w:hideMark/>
          </w:tcPr>
          <w:p w14:paraId="1F33207A" w14:textId="2AFAB49C" w:rsidR="00FE183F" w:rsidRPr="00B74998" w:rsidRDefault="00FE183F" w:rsidP="00FE183F">
            <w:pPr>
              <w:widowControl/>
              <w:autoSpaceDE/>
              <w:autoSpaceDN/>
              <w:jc w:val="right"/>
              <w:rPr>
                <w:rFonts w:eastAsia="Times New Roman"/>
                <w:color w:val="000000"/>
                <w:sz w:val="18"/>
                <w:szCs w:val="18"/>
              </w:rPr>
            </w:pPr>
            <w:r>
              <w:rPr>
                <w:color w:val="000000"/>
                <w:sz w:val="18"/>
                <w:szCs w:val="18"/>
              </w:rPr>
              <w:t>3.6</w:t>
            </w:r>
          </w:p>
        </w:tc>
        <w:tc>
          <w:tcPr>
            <w:tcW w:w="2096" w:type="dxa"/>
            <w:tcBorders>
              <w:top w:val="nil"/>
              <w:left w:val="nil"/>
              <w:bottom w:val="nil"/>
              <w:right w:val="nil"/>
            </w:tcBorders>
            <w:shd w:val="clear" w:color="auto" w:fill="auto"/>
            <w:noWrap/>
            <w:vAlign w:val="bottom"/>
            <w:hideMark/>
          </w:tcPr>
          <w:p w14:paraId="0771B726" w14:textId="79813AAE" w:rsidR="00FE183F" w:rsidRPr="00B74998" w:rsidRDefault="00FE183F" w:rsidP="00FE183F">
            <w:pPr>
              <w:widowControl/>
              <w:autoSpaceDE/>
              <w:autoSpaceDN/>
              <w:rPr>
                <w:rFonts w:eastAsia="Times New Roman"/>
                <w:color w:val="000000"/>
                <w:sz w:val="18"/>
                <w:szCs w:val="18"/>
              </w:rPr>
            </w:pPr>
            <w:r>
              <w:rPr>
                <w:color w:val="000000"/>
                <w:sz w:val="18"/>
                <w:szCs w:val="18"/>
              </w:rPr>
              <w:t xml:space="preserve">SD38 </w:t>
            </w:r>
            <w:proofErr w:type="spellStart"/>
            <w:r>
              <w:rPr>
                <w:color w:val="000000"/>
                <w:sz w:val="18"/>
                <w:szCs w:val="18"/>
              </w:rPr>
              <w:t>Blakespear</w:t>
            </w:r>
            <w:proofErr w:type="spellEnd"/>
            <w:r>
              <w:rPr>
                <w:color w:val="000000"/>
                <w:sz w:val="18"/>
                <w:szCs w:val="18"/>
              </w:rPr>
              <w:t xml:space="preserve"> (D)</w:t>
            </w:r>
          </w:p>
        </w:tc>
        <w:tc>
          <w:tcPr>
            <w:tcW w:w="976" w:type="dxa"/>
            <w:tcBorders>
              <w:top w:val="nil"/>
              <w:left w:val="nil"/>
              <w:bottom w:val="nil"/>
              <w:right w:val="nil"/>
            </w:tcBorders>
            <w:shd w:val="clear" w:color="auto" w:fill="auto"/>
            <w:noWrap/>
            <w:vAlign w:val="bottom"/>
            <w:hideMark/>
          </w:tcPr>
          <w:p w14:paraId="308BE394" w14:textId="5A6619DF" w:rsidR="00FE183F" w:rsidRPr="00B74998" w:rsidRDefault="00FE183F" w:rsidP="00FE183F">
            <w:pPr>
              <w:widowControl/>
              <w:autoSpaceDE/>
              <w:autoSpaceDN/>
              <w:jc w:val="right"/>
              <w:rPr>
                <w:rFonts w:eastAsia="Times New Roman"/>
                <w:color w:val="000000"/>
                <w:sz w:val="18"/>
                <w:szCs w:val="18"/>
              </w:rPr>
            </w:pPr>
            <w:r>
              <w:rPr>
                <w:color w:val="000000"/>
                <w:sz w:val="18"/>
                <w:szCs w:val="18"/>
              </w:rPr>
              <w:t>3.7</w:t>
            </w:r>
          </w:p>
        </w:tc>
        <w:tc>
          <w:tcPr>
            <w:tcW w:w="2096" w:type="dxa"/>
            <w:tcBorders>
              <w:top w:val="nil"/>
              <w:left w:val="nil"/>
              <w:bottom w:val="nil"/>
              <w:right w:val="nil"/>
            </w:tcBorders>
            <w:shd w:val="clear" w:color="auto" w:fill="auto"/>
            <w:noWrap/>
            <w:vAlign w:val="bottom"/>
            <w:hideMark/>
          </w:tcPr>
          <w:p w14:paraId="01A67624" w14:textId="5ED4A246" w:rsidR="00FE183F" w:rsidRPr="00B74998" w:rsidRDefault="00FE183F" w:rsidP="00FE183F">
            <w:pPr>
              <w:widowControl/>
              <w:autoSpaceDE/>
              <w:autoSpaceDN/>
              <w:rPr>
                <w:rFonts w:eastAsia="Times New Roman"/>
                <w:color w:val="000000"/>
                <w:sz w:val="18"/>
                <w:szCs w:val="18"/>
              </w:rPr>
            </w:pPr>
            <w:r>
              <w:rPr>
                <w:color w:val="000000"/>
                <w:sz w:val="18"/>
                <w:szCs w:val="18"/>
              </w:rPr>
              <w:t>AD23 Berman (D)</w:t>
            </w:r>
          </w:p>
        </w:tc>
        <w:tc>
          <w:tcPr>
            <w:tcW w:w="976" w:type="dxa"/>
            <w:tcBorders>
              <w:top w:val="nil"/>
              <w:left w:val="nil"/>
              <w:bottom w:val="nil"/>
              <w:right w:val="nil"/>
            </w:tcBorders>
            <w:shd w:val="clear" w:color="auto" w:fill="auto"/>
            <w:noWrap/>
            <w:vAlign w:val="bottom"/>
            <w:hideMark/>
          </w:tcPr>
          <w:p w14:paraId="6A0F0098" w14:textId="3AA9977A" w:rsidR="00FE183F" w:rsidRPr="00B74998" w:rsidRDefault="00FE183F" w:rsidP="00FE183F">
            <w:pPr>
              <w:widowControl/>
              <w:autoSpaceDE/>
              <w:autoSpaceDN/>
              <w:jc w:val="right"/>
              <w:rPr>
                <w:rFonts w:eastAsia="Times New Roman"/>
                <w:color w:val="000000"/>
                <w:sz w:val="18"/>
                <w:szCs w:val="18"/>
              </w:rPr>
            </w:pPr>
            <w:r>
              <w:rPr>
                <w:color w:val="000000"/>
                <w:sz w:val="18"/>
                <w:szCs w:val="18"/>
              </w:rPr>
              <w:t>3.2</w:t>
            </w:r>
          </w:p>
        </w:tc>
      </w:tr>
      <w:tr w:rsidR="00FE183F" w:rsidRPr="00B74998" w14:paraId="1BD668F4" w14:textId="77777777" w:rsidTr="00F02E8D">
        <w:trPr>
          <w:trHeight w:val="300"/>
        </w:trPr>
        <w:tc>
          <w:tcPr>
            <w:tcW w:w="976" w:type="dxa"/>
            <w:tcBorders>
              <w:top w:val="nil"/>
              <w:left w:val="nil"/>
              <w:bottom w:val="nil"/>
              <w:right w:val="nil"/>
            </w:tcBorders>
            <w:shd w:val="clear" w:color="auto" w:fill="auto"/>
            <w:noWrap/>
            <w:vAlign w:val="bottom"/>
            <w:hideMark/>
          </w:tcPr>
          <w:p w14:paraId="1A68712E" w14:textId="77777777" w:rsidR="00FE183F" w:rsidRPr="00B74998" w:rsidRDefault="00FE183F" w:rsidP="00FE183F">
            <w:pPr>
              <w:widowControl/>
              <w:autoSpaceDE/>
              <w:autoSpaceDN/>
              <w:jc w:val="right"/>
              <w:rPr>
                <w:rFonts w:eastAsia="Times New Roman"/>
                <w:color w:val="000000"/>
                <w:sz w:val="18"/>
                <w:szCs w:val="18"/>
              </w:rPr>
            </w:pPr>
          </w:p>
        </w:tc>
        <w:tc>
          <w:tcPr>
            <w:tcW w:w="2096" w:type="dxa"/>
            <w:tcBorders>
              <w:top w:val="nil"/>
              <w:left w:val="nil"/>
              <w:bottom w:val="nil"/>
              <w:right w:val="nil"/>
            </w:tcBorders>
            <w:shd w:val="clear" w:color="auto" w:fill="auto"/>
            <w:noWrap/>
            <w:vAlign w:val="bottom"/>
            <w:hideMark/>
          </w:tcPr>
          <w:p w14:paraId="33CAC3C2" w14:textId="00366966" w:rsidR="00FE183F" w:rsidRPr="00B74998" w:rsidRDefault="00FE183F" w:rsidP="00FE183F">
            <w:pPr>
              <w:widowControl/>
              <w:autoSpaceDE/>
              <w:autoSpaceDN/>
              <w:rPr>
                <w:rFonts w:eastAsia="Times New Roman"/>
                <w:color w:val="000000"/>
                <w:sz w:val="18"/>
                <w:szCs w:val="18"/>
              </w:rPr>
            </w:pPr>
            <w:r>
              <w:rPr>
                <w:color w:val="000000"/>
                <w:sz w:val="18"/>
                <w:szCs w:val="18"/>
              </w:rPr>
              <w:t>CD40 Kim (R)</w:t>
            </w:r>
          </w:p>
        </w:tc>
        <w:tc>
          <w:tcPr>
            <w:tcW w:w="976" w:type="dxa"/>
            <w:tcBorders>
              <w:top w:val="nil"/>
              <w:left w:val="nil"/>
              <w:bottom w:val="nil"/>
              <w:right w:val="nil"/>
            </w:tcBorders>
            <w:shd w:val="clear" w:color="auto" w:fill="auto"/>
            <w:noWrap/>
            <w:vAlign w:val="bottom"/>
            <w:hideMark/>
          </w:tcPr>
          <w:p w14:paraId="04C4BF59" w14:textId="49D165FE" w:rsidR="00FE183F" w:rsidRPr="00B74998" w:rsidRDefault="00FE183F" w:rsidP="00FE183F">
            <w:pPr>
              <w:widowControl/>
              <w:autoSpaceDE/>
              <w:autoSpaceDN/>
              <w:jc w:val="right"/>
              <w:rPr>
                <w:rFonts w:eastAsia="Times New Roman"/>
                <w:color w:val="000000"/>
                <w:sz w:val="18"/>
                <w:szCs w:val="18"/>
              </w:rPr>
            </w:pPr>
            <w:r>
              <w:rPr>
                <w:color w:val="000000"/>
                <w:sz w:val="18"/>
                <w:szCs w:val="18"/>
              </w:rPr>
              <w:t>3.6</w:t>
            </w:r>
          </w:p>
        </w:tc>
        <w:tc>
          <w:tcPr>
            <w:tcW w:w="2096" w:type="dxa"/>
            <w:tcBorders>
              <w:top w:val="nil"/>
              <w:left w:val="nil"/>
              <w:bottom w:val="nil"/>
              <w:right w:val="nil"/>
            </w:tcBorders>
            <w:shd w:val="clear" w:color="auto" w:fill="auto"/>
            <w:noWrap/>
            <w:vAlign w:val="bottom"/>
            <w:hideMark/>
          </w:tcPr>
          <w:p w14:paraId="0AED72F5" w14:textId="732E7A3D" w:rsidR="00FE183F" w:rsidRPr="00B74998" w:rsidRDefault="00FE183F" w:rsidP="00FE183F">
            <w:pPr>
              <w:widowControl/>
              <w:autoSpaceDE/>
              <w:autoSpaceDN/>
              <w:rPr>
                <w:rFonts w:eastAsia="Times New Roman"/>
                <w:color w:val="000000"/>
                <w:sz w:val="18"/>
                <w:szCs w:val="18"/>
              </w:rPr>
            </w:pPr>
            <w:r>
              <w:rPr>
                <w:color w:val="000000"/>
                <w:sz w:val="18"/>
                <w:szCs w:val="18"/>
              </w:rPr>
              <w:t>SD40 Jones (R)</w:t>
            </w:r>
          </w:p>
        </w:tc>
        <w:tc>
          <w:tcPr>
            <w:tcW w:w="976" w:type="dxa"/>
            <w:tcBorders>
              <w:top w:val="nil"/>
              <w:left w:val="nil"/>
              <w:bottom w:val="nil"/>
              <w:right w:val="nil"/>
            </w:tcBorders>
            <w:shd w:val="clear" w:color="auto" w:fill="auto"/>
            <w:noWrap/>
            <w:vAlign w:val="bottom"/>
            <w:hideMark/>
          </w:tcPr>
          <w:p w14:paraId="525FC844" w14:textId="002D752A" w:rsidR="00FE183F" w:rsidRPr="00B74998" w:rsidRDefault="00FE183F" w:rsidP="00FE183F">
            <w:pPr>
              <w:widowControl/>
              <w:autoSpaceDE/>
              <w:autoSpaceDN/>
              <w:jc w:val="right"/>
              <w:rPr>
                <w:rFonts w:eastAsia="Times New Roman"/>
                <w:color w:val="000000"/>
                <w:sz w:val="18"/>
                <w:szCs w:val="18"/>
              </w:rPr>
            </w:pPr>
            <w:r>
              <w:rPr>
                <w:color w:val="000000"/>
                <w:sz w:val="18"/>
                <w:szCs w:val="18"/>
              </w:rPr>
              <w:t>3.7</w:t>
            </w:r>
          </w:p>
        </w:tc>
        <w:tc>
          <w:tcPr>
            <w:tcW w:w="2096" w:type="dxa"/>
            <w:tcBorders>
              <w:top w:val="nil"/>
              <w:left w:val="nil"/>
              <w:bottom w:val="nil"/>
              <w:right w:val="nil"/>
            </w:tcBorders>
            <w:shd w:val="clear" w:color="auto" w:fill="auto"/>
            <w:noWrap/>
            <w:vAlign w:val="bottom"/>
            <w:hideMark/>
          </w:tcPr>
          <w:p w14:paraId="3F92B970" w14:textId="3E14E0A8" w:rsidR="00FE183F" w:rsidRPr="00B74998" w:rsidRDefault="00FE183F" w:rsidP="00FE183F">
            <w:pPr>
              <w:widowControl/>
              <w:autoSpaceDE/>
              <w:autoSpaceDN/>
              <w:rPr>
                <w:rFonts w:eastAsia="Times New Roman"/>
                <w:color w:val="000000"/>
                <w:sz w:val="18"/>
                <w:szCs w:val="18"/>
              </w:rPr>
            </w:pPr>
            <w:r>
              <w:rPr>
                <w:color w:val="000000"/>
                <w:sz w:val="18"/>
                <w:szCs w:val="18"/>
              </w:rPr>
              <w:t xml:space="preserve">AD76 </w:t>
            </w:r>
            <w:proofErr w:type="spellStart"/>
            <w:r>
              <w:rPr>
                <w:color w:val="000000"/>
                <w:sz w:val="18"/>
                <w:szCs w:val="18"/>
              </w:rPr>
              <w:t>Maienschein</w:t>
            </w:r>
            <w:proofErr w:type="spellEnd"/>
            <w:r>
              <w:rPr>
                <w:color w:val="000000"/>
                <w:sz w:val="18"/>
                <w:szCs w:val="18"/>
              </w:rPr>
              <w:t xml:space="preserve"> (D)</w:t>
            </w:r>
          </w:p>
        </w:tc>
        <w:tc>
          <w:tcPr>
            <w:tcW w:w="976" w:type="dxa"/>
            <w:tcBorders>
              <w:top w:val="nil"/>
              <w:left w:val="nil"/>
              <w:bottom w:val="nil"/>
              <w:right w:val="nil"/>
            </w:tcBorders>
            <w:shd w:val="clear" w:color="auto" w:fill="auto"/>
            <w:noWrap/>
            <w:vAlign w:val="bottom"/>
            <w:hideMark/>
          </w:tcPr>
          <w:p w14:paraId="7AE0C444" w14:textId="62D49FA2" w:rsidR="00FE183F" w:rsidRPr="00B74998" w:rsidRDefault="00FE183F" w:rsidP="00FE183F">
            <w:pPr>
              <w:widowControl/>
              <w:autoSpaceDE/>
              <w:autoSpaceDN/>
              <w:jc w:val="right"/>
              <w:rPr>
                <w:rFonts w:eastAsia="Times New Roman"/>
                <w:color w:val="000000"/>
                <w:sz w:val="18"/>
                <w:szCs w:val="18"/>
              </w:rPr>
            </w:pPr>
            <w:r>
              <w:rPr>
                <w:color w:val="000000"/>
                <w:sz w:val="18"/>
                <w:szCs w:val="18"/>
              </w:rPr>
              <w:t>3.3</w:t>
            </w:r>
          </w:p>
        </w:tc>
      </w:tr>
      <w:tr w:rsidR="00FE183F" w:rsidRPr="00B74998" w14:paraId="70542055" w14:textId="77777777" w:rsidTr="00F02E8D">
        <w:trPr>
          <w:trHeight w:val="300"/>
        </w:trPr>
        <w:tc>
          <w:tcPr>
            <w:tcW w:w="976" w:type="dxa"/>
            <w:tcBorders>
              <w:top w:val="nil"/>
              <w:left w:val="nil"/>
              <w:bottom w:val="nil"/>
              <w:right w:val="nil"/>
            </w:tcBorders>
            <w:shd w:val="clear" w:color="auto" w:fill="auto"/>
            <w:noWrap/>
            <w:vAlign w:val="bottom"/>
            <w:hideMark/>
          </w:tcPr>
          <w:p w14:paraId="0B85230C" w14:textId="77777777" w:rsidR="00FE183F" w:rsidRPr="00B74998" w:rsidRDefault="00FE183F" w:rsidP="00FE183F">
            <w:pPr>
              <w:widowControl/>
              <w:autoSpaceDE/>
              <w:autoSpaceDN/>
              <w:jc w:val="right"/>
              <w:rPr>
                <w:rFonts w:eastAsia="Times New Roman"/>
                <w:color w:val="000000"/>
                <w:sz w:val="18"/>
                <w:szCs w:val="18"/>
              </w:rPr>
            </w:pPr>
          </w:p>
        </w:tc>
        <w:tc>
          <w:tcPr>
            <w:tcW w:w="2096" w:type="dxa"/>
            <w:tcBorders>
              <w:top w:val="nil"/>
              <w:left w:val="nil"/>
              <w:bottom w:val="nil"/>
              <w:right w:val="nil"/>
            </w:tcBorders>
            <w:shd w:val="clear" w:color="auto" w:fill="auto"/>
            <w:noWrap/>
            <w:vAlign w:val="bottom"/>
            <w:hideMark/>
          </w:tcPr>
          <w:p w14:paraId="0D9E4500" w14:textId="2FF6B51C" w:rsidR="00FE183F" w:rsidRPr="00B74998" w:rsidRDefault="00FE183F" w:rsidP="00FE183F">
            <w:pPr>
              <w:widowControl/>
              <w:autoSpaceDE/>
              <w:autoSpaceDN/>
              <w:rPr>
                <w:rFonts w:eastAsia="Times New Roman"/>
                <w:color w:val="000000"/>
                <w:sz w:val="18"/>
                <w:szCs w:val="18"/>
              </w:rPr>
            </w:pPr>
            <w:r>
              <w:rPr>
                <w:color w:val="000000"/>
                <w:sz w:val="18"/>
                <w:szCs w:val="18"/>
              </w:rPr>
              <w:t>CD50 Peters (D)</w:t>
            </w:r>
          </w:p>
        </w:tc>
        <w:tc>
          <w:tcPr>
            <w:tcW w:w="976" w:type="dxa"/>
            <w:tcBorders>
              <w:top w:val="nil"/>
              <w:left w:val="nil"/>
              <w:bottom w:val="nil"/>
              <w:right w:val="nil"/>
            </w:tcBorders>
            <w:shd w:val="clear" w:color="auto" w:fill="auto"/>
            <w:noWrap/>
            <w:vAlign w:val="bottom"/>
            <w:hideMark/>
          </w:tcPr>
          <w:p w14:paraId="0BC9C8FA" w14:textId="4C819E9C" w:rsidR="00FE183F" w:rsidRPr="00B74998" w:rsidRDefault="00FE183F" w:rsidP="00FE183F">
            <w:pPr>
              <w:widowControl/>
              <w:autoSpaceDE/>
              <w:autoSpaceDN/>
              <w:jc w:val="right"/>
              <w:rPr>
                <w:rFonts w:eastAsia="Times New Roman"/>
                <w:color w:val="000000"/>
                <w:sz w:val="18"/>
                <w:szCs w:val="18"/>
              </w:rPr>
            </w:pPr>
            <w:r>
              <w:rPr>
                <w:color w:val="000000"/>
                <w:sz w:val="18"/>
                <w:szCs w:val="18"/>
              </w:rPr>
              <w:t>3.7</w:t>
            </w:r>
          </w:p>
        </w:tc>
        <w:tc>
          <w:tcPr>
            <w:tcW w:w="2096" w:type="dxa"/>
            <w:tcBorders>
              <w:top w:val="nil"/>
              <w:left w:val="nil"/>
              <w:bottom w:val="nil"/>
              <w:right w:val="nil"/>
            </w:tcBorders>
            <w:shd w:val="clear" w:color="auto" w:fill="auto"/>
            <w:noWrap/>
            <w:vAlign w:val="bottom"/>
            <w:hideMark/>
          </w:tcPr>
          <w:p w14:paraId="572FC63B" w14:textId="7EE30127" w:rsidR="00FE183F" w:rsidRPr="00B74998" w:rsidRDefault="00FE183F" w:rsidP="00FE183F">
            <w:pPr>
              <w:widowControl/>
              <w:autoSpaceDE/>
              <w:autoSpaceDN/>
              <w:rPr>
                <w:rFonts w:eastAsia="Times New Roman"/>
                <w:color w:val="000000"/>
                <w:sz w:val="18"/>
                <w:szCs w:val="18"/>
              </w:rPr>
            </w:pPr>
            <w:r>
              <w:rPr>
                <w:color w:val="000000"/>
                <w:sz w:val="18"/>
                <w:szCs w:val="18"/>
              </w:rPr>
              <w:t>SD10 Wahab (D)</w:t>
            </w:r>
          </w:p>
        </w:tc>
        <w:tc>
          <w:tcPr>
            <w:tcW w:w="976" w:type="dxa"/>
            <w:tcBorders>
              <w:top w:val="nil"/>
              <w:left w:val="nil"/>
              <w:bottom w:val="nil"/>
              <w:right w:val="nil"/>
            </w:tcBorders>
            <w:shd w:val="clear" w:color="auto" w:fill="auto"/>
            <w:noWrap/>
            <w:vAlign w:val="bottom"/>
            <w:hideMark/>
          </w:tcPr>
          <w:p w14:paraId="5ED4B41A" w14:textId="33B1929F" w:rsidR="00FE183F" w:rsidRPr="00B74998" w:rsidRDefault="00FE183F" w:rsidP="00FE183F">
            <w:pPr>
              <w:widowControl/>
              <w:autoSpaceDE/>
              <w:autoSpaceDN/>
              <w:jc w:val="right"/>
              <w:rPr>
                <w:rFonts w:eastAsia="Times New Roman"/>
                <w:color w:val="000000"/>
                <w:sz w:val="18"/>
                <w:szCs w:val="18"/>
              </w:rPr>
            </w:pPr>
            <w:r>
              <w:rPr>
                <w:color w:val="000000"/>
                <w:sz w:val="18"/>
                <w:szCs w:val="18"/>
              </w:rPr>
              <w:t>4.2</w:t>
            </w:r>
          </w:p>
        </w:tc>
        <w:tc>
          <w:tcPr>
            <w:tcW w:w="2096" w:type="dxa"/>
            <w:tcBorders>
              <w:top w:val="nil"/>
              <w:left w:val="nil"/>
              <w:bottom w:val="nil"/>
              <w:right w:val="nil"/>
            </w:tcBorders>
            <w:shd w:val="clear" w:color="auto" w:fill="auto"/>
            <w:noWrap/>
            <w:vAlign w:val="bottom"/>
            <w:hideMark/>
          </w:tcPr>
          <w:p w14:paraId="210E2E27" w14:textId="0623C314" w:rsidR="00FE183F" w:rsidRPr="00B74998" w:rsidRDefault="00FE183F" w:rsidP="00FE183F">
            <w:pPr>
              <w:widowControl/>
              <w:autoSpaceDE/>
              <w:autoSpaceDN/>
              <w:rPr>
                <w:rFonts w:eastAsia="Times New Roman"/>
                <w:color w:val="000000"/>
                <w:sz w:val="18"/>
                <w:szCs w:val="18"/>
              </w:rPr>
            </w:pPr>
            <w:r>
              <w:rPr>
                <w:color w:val="000000"/>
                <w:sz w:val="18"/>
                <w:szCs w:val="18"/>
              </w:rPr>
              <w:t>AD19 Ting (D)</w:t>
            </w:r>
          </w:p>
        </w:tc>
        <w:tc>
          <w:tcPr>
            <w:tcW w:w="976" w:type="dxa"/>
            <w:tcBorders>
              <w:top w:val="nil"/>
              <w:left w:val="nil"/>
              <w:bottom w:val="nil"/>
              <w:right w:val="nil"/>
            </w:tcBorders>
            <w:shd w:val="clear" w:color="auto" w:fill="auto"/>
            <w:noWrap/>
            <w:vAlign w:val="bottom"/>
            <w:hideMark/>
          </w:tcPr>
          <w:p w14:paraId="380D4671" w14:textId="7A7F2DC1" w:rsidR="00FE183F" w:rsidRPr="00B74998" w:rsidRDefault="00FE183F" w:rsidP="00FE183F">
            <w:pPr>
              <w:widowControl/>
              <w:autoSpaceDE/>
              <w:autoSpaceDN/>
              <w:jc w:val="right"/>
              <w:rPr>
                <w:rFonts w:eastAsia="Times New Roman"/>
                <w:color w:val="000000"/>
                <w:sz w:val="18"/>
                <w:szCs w:val="18"/>
              </w:rPr>
            </w:pPr>
            <w:r>
              <w:rPr>
                <w:color w:val="000000"/>
                <w:sz w:val="18"/>
                <w:szCs w:val="18"/>
              </w:rPr>
              <w:t>3.3</w:t>
            </w:r>
          </w:p>
        </w:tc>
      </w:tr>
      <w:tr w:rsidR="00FE183F" w:rsidRPr="00B74998" w14:paraId="287038D3" w14:textId="77777777" w:rsidTr="00F02E8D">
        <w:trPr>
          <w:trHeight w:val="300"/>
        </w:trPr>
        <w:tc>
          <w:tcPr>
            <w:tcW w:w="976" w:type="dxa"/>
            <w:tcBorders>
              <w:top w:val="nil"/>
              <w:left w:val="nil"/>
              <w:bottom w:val="nil"/>
              <w:right w:val="nil"/>
            </w:tcBorders>
            <w:shd w:val="clear" w:color="auto" w:fill="auto"/>
            <w:noWrap/>
            <w:vAlign w:val="bottom"/>
            <w:hideMark/>
          </w:tcPr>
          <w:p w14:paraId="6669616D" w14:textId="77777777" w:rsidR="00FE183F" w:rsidRPr="00B74998" w:rsidRDefault="00FE183F" w:rsidP="00FE183F">
            <w:pPr>
              <w:widowControl/>
              <w:autoSpaceDE/>
              <w:autoSpaceDN/>
              <w:jc w:val="right"/>
              <w:rPr>
                <w:rFonts w:eastAsia="Times New Roman"/>
                <w:color w:val="000000"/>
                <w:sz w:val="18"/>
                <w:szCs w:val="18"/>
              </w:rPr>
            </w:pPr>
          </w:p>
        </w:tc>
        <w:tc>
          <w:tcPr>
            <w:tcW w:w="2096" w:type="dxa"/>
            <w:tcBorders>
              <w:top w:val="nil"/>
              <w:left w:val="nil"/>
              <w:bottom w:val="nil"/>
              <w:right w:val="nil"/>
            </w:tcBorders>
            <w:shd w:val="clear" w:color="auto" w:fill="auto"/>
            <w:noWrap/>
            <w:vAlign w:val="bottom"/>
            <w:hideMark/>
          </w:tcPr>
          <w:p w14:paraId="73CB78DF" w14:textId="53DA0F5A" w:rsidR="00FE183F" w:rsidRPr="00B74998" w:rsidRDefault="00FE183F" w:rsidP="00FE183F">
            <w:pPr>
              <w:widowControl/>
              <w:autoSpaceDE/>
              <w:autoSpaceDN/>
              <w:rPr>
                <w:rFonts w:eastAsia="Times New Roman"/>
                <w:color w:val="000000"/>
                <w:sz w:val="18"/>
                <w:szCs w:val="18"/>
              </w:rPr>
            </w:pPr>
            <w:r>
              <w:rPr>
                <w:color w:val="000000"/>
                <w:sz w:val="18"/>
                <w:szCs w:val="18"/>
              </w:rPr>
              <w:t>CD15 Mullin (D)</w:t>
            </w:r>
          </w:p>
        </w:tc>
        <w:tc>
          <w:tcPr>
            <w:tcW w:w="976" w:type="dxa"/>
            <w:tcBorders>
              <w:top w:val="nil"/>
              <w:left w:val="nil"/>
              <w:bottom w:val="nil"/>
              <w:right w:val="nil"/>
            </w:tcBorders>
            <w:shd w:val="clear" w:color="auto" w:fill="auto"/>
            <w:noWrap/>
            <w:vAlign w:val="bottom"/>
            <w:hideMark/>
          </w:tcPr>
          <w:p w14:paraId="5FE900E4" w14:textId="623ACD5E" w:rsidR="00FE183F" w:rsidRPr="00B74998" w:rsidRDefault="00FE183F" w:rsidP="00FE183F">
            <w:pPr>
              <w:widowControl/>
              <w:autoSpaceDE/>
              <w:autoSpaceDN/>
              <w:jc w:val="right"/>
              <w:rPr>
                <w:rFonts w:eastAsia="Times New Roman"/>
                <w:color w:val="000000"/>
                <w:sz w:val="18"/>
                <w:szCs w:val="18"/>
              </w:rPr>
            </w:pPr>
            <w:r>
              <w:rPr>
                <w:color w:val="000000"/>
                <w:sz w:val="18"/>
                <w:szCs w:val="18"/>
              </w:rPr>
              <w:t>3.7</w:t>
            </w:r>
          </w:p>
        </w:tc>
        <w:tc>
          <w:tcPr>
            <w:tcW w:w="2096" w:type="dxa"/>
            <w:tcBorders>
              <w:top w:val="nil"/>
              <w:left w:val="nil"/>
              <w:bottom w:val="nil"/>
              <w:right w:val="nil"/>
            </w:tcBorders>
            <w:shd w:val="clear" w:color="auto" w:fill="auto"/>
            <w:noWrap/>
            <w:vAlign w:val="bottom"/>
            <w:hideMark/>
          </w:tcPr>
          <w:p w14:paraId="08D40AAA" w14:textId="74A54DC8" w:rsidR="00FE183F" w:rsidRPr="00B74998" w:rsidRDefault="00FE183F" w:rsidP="00FE183F">
            <w:pPr>
              <w:widowControl/>
              <w:autoSpaceDE/>
              <w:autoSpaceDN/>
              <w:rPr>
                <w:rFonts w:eastAsia="Times New Roman"/>
                <w:color w:val="000000"/>
                <w:sz w:val="18"/>
                <w:szCs w:val="18"/>
              </w:rPr>
            </w:pPr>
            <w:r>
              <w:rPr>
                <w:color w:val="000000"/>
                <w:sz w:val="18"/>
                <w:szCs w:val="18"/>
              </w:rPr>
              <w:t>SD34 Umberg (D)</w:t>
            </w:r>
          </w:p>
        </w:tc>
        <w:tc>
          <w:tcPr>
            <w:tcW w:w="976" w:type="dxa"/>
            <w:tcBorders>
              <w:top w:val="nil"/>
              <w:left w:val="nil"/>
              <w:bottom w:val="nil"/>
              <w:right w:val="nil"/>
            </w:tcBorders>
            <w:shd w:val="clear" w:color="auto" w:fill="auto"/>
            <w:noWrap/>
            <w:vAlign w:val="bottom"/>
            <w:hideMark/>
          </w:tcPr>
          <w:p w14:paraId="49A9DB72" w14:textId="693744F7" w:rsidR="00FE183F" w:rsidRPr="00B74998" w:rsidRDefault="00FE183F" w:rsidP="00FE183F">
            <w:pPr>
              <w:widowControl/>
              <w:autoSpaceDE/>
              <w:autoSpaceDN/>
              <w:jc w:val="right"/>
              <w:rPr>
                <w:rFonts w:eastAsia="Times New Roman"/>
                <w:color w:val="000000"/>
                <w:sz w:val="18"/>
                <w:szCs w:val="18"/>
              </w:rPr>
            </w:pPr>
            <w:r>
              <w:rPr>
                <w:color w:val="000000"/>
                <w:sz w:val="18"/>
                <w:szCs w:val="18"/>
              </w:rPr>
              <w:t>4.3</w:t>
            </w:r>
          </w:p>
        </w:tc>
        <w:tc>
          <w:tcPr>
            <w:tcW w:w="2096" w:type="dxa"/>
            <w:tcBorders>
              <w:top w:val="nil"/>
              <w:left w:val="nil"/>
              <w:bottom w:val="nil"/>
              <w:right w:val="nil"/>
            </w:tcBorders>
            <w:shd w:val="clear" w:color="auto" w:fill="auto"/>
            <w:noWrap/>
            <w:vAlign w:val="bottom"/>
            <w:hideMark/>
          </w:tcPr>
          <w:p w14:paraId="14548D64" w14:textId="0C411633" w:rsidR="00FE183F" w:rsidRPr="00B74998" w:rsidRDefault="00FE183F" w:rsidP="00FE183F">
            <w:pPr>
              <w:widowControl/>
              <w:autoSpaceDE/>
              <w:autoSpaceDN/>
              <w:rPr>
                <w:rFonts w:eastAsia="Times New Roman"/>
                <w:color w:val="000000"/>
                <w:sz w:val="18"/>
                <w:szCs w:val="18"/>
              </w:rPr>
            </w:pPr>
            <w:r>
              <w:rPr>
                <w:color w:val="000000"/>
                <w:sz w:val="18"/>
                <w:szCs w:val="18"/>
              </w:rPr>
              <w:t>AD26 Low (D)</w:t>
            </w:r>
          </w:p>
        </w:tc>
        <w:tc>
          <w:tcPr>
            <w:tcW w:w="976" w:type="dxa"/>
            <w:tcBorders>
              <w:top w:val="nil"/>
              <w:left w:val="nil"/>
              <w:bottom w:val="nil"/>
              <w:right w:val="nil"/>
            </w:tcBorders>
            <w:shd w:val="clear" w:color="auto" w:fill="auto"/>
            <w:noWrap/>
            <w:vAlign w:val="bottom"/>
            <w:hideMark/>
          </w:tcPr>
          <w:p w14:paraId="0AC0FB2A" w14:textId="0FC1B48B" w:rsidR="00FE183F" w:rsidRPr="00B74998" w:rsidRDefault="00FE183F" w:rsidP="00FE183F">
            <w:pPr>
              <w:widowControl/>
              <w:autoSpaceDE/>
              <w:autoSpaceDN/>
              <w:jc w:val="right"/>
              <w:rPr>
                <w:rFonts w:eastAsia="Times New Roman"/>
                <w:color w:val="000000"/>
                <w:sz w:val="18"/>
                <w:szCs w:val="18"/>
              </w:rPr>
            </w:pPr>
            <w:r>
              <w:rPr>
                <w:color w:val="000000"/>
                <w:sz w:val="18"/>
                <w:szCs w:val="18"/>
              </w:rPr>
              <w:t>3.5</w:t>
            </w:r>
          </w:p>
        </w:tc>
      </w:tr>
      <w:tr w:rsidR="00FE183F" w:rsidRPr="00B74998" w14:paraId="12461C2A" w14:textId="77777777" w:rsidTr="00F02E8D">
        <w:trPr>
          <w:trHeight w:val="300"/>
        </w:trPr>
        <w:tc>
          <w:tcPr>
            <w:tcW w:w="976" w:type="dxa"/>
            <w:tcBorders>
              <w:top w:val="nil"/>
              <w:left w:val="nil"/>
              <w:bottom w:val="nil"/>
              <w:right w:val="nil"/>
            </w:tcBorders>
            <w:shd w:val="clear" w:color="auto" w:fill="auto"/>
            <w:noWrap/>
            <w:vAlign w:val="bottom"/>
            <w:hideMark/>
          </w:tcPr>
          <w:p w14:paraId="7440C3D3" w14:textId="77777777" w:rsidR="00FE183F" w:rsidRPr="00B74998" w:rsidRDefault="00FE183F" w:rsidP="00FE183F">
            <w:pPr>
              <w:widowControl/>
              <w:autoSpaceDE/>
              <w:autoSpaceDN/>
              <w:jc w:val="right"/>
              <w:rPr>
                <w:rFonts w:eastAsia="Times New Roman"/>
                <w:color w:val="000000"/>
                <w:sz w:val="18"/>
                <w:szCs w:val="18"/>
              </w:rPr>
            </w:pPr>
          </w:p>
        </w:tc>
        <w:tc>
          <w:tcPr>
            <w:tcW w:w="2096" w:type="dxa"/>
            <w:tcBorders>
              <w:top w:val="nil"/>
              <w:left w:val="nil"/>
              <w:bottom w:val="nil"/>
              <w:right w:val="nil"/>
            </w:tcBorders>
            <w:shd w:val="clear" w:color="auto" w:fill="auto"/>
            <w:noWrap/>
            <w:vAlign w:val="bottom"/>
            <w:hideMark/>
          </w:tcPr>
          <w:p w14:paraId="73A5794C" w14:textId="1E58D623" w:rsidR="00FE183F" w:rsidRPr="00B74998" w:rsidRDefault="00FE183F" w:rsidP="00FE183F">
            <w:pPr>
              <w:widowControl/>
              <w:autoSpaceDE/>
              <w:autoSpaceDN/>
              <w:rPr>
                <w:rFonts w:eastAsia="Times New Roman"/>
                <w:color w:val="000000"/>
                <w:sz w:val="18"/>
                <w:szCs w:val="18"/>
              </w:rPr>
            </w:pPr>
            <w:r>
              <w:rPr>
                <w:color w:val="000000"/>
                <w:sz w:val="18"/>
                <w:szCs w:val="18"/>
              </w:rPr>
              <w:t>CD16 Eshoo (D)</w:t>
            </w:r>
          </w:p>
        </w:tc>
        <w:tc>
          <w:tcPr>
            <w:tcW w:w="976" w:type="dxa"/>
            <w:tcBorders>
              <w:top w:val="nil"/>
              <w:left w:val="nil"/>
              <w:bottom w:val="nil"/>
              <w:right w:val="nil"/>
            </w:tcBorders>
            <w:shd w:val="clear" w:color="auto" w:fill="auto"/>
            <w:noWrap/>
            <w:vAlign w:val="bottom"/>
            <w:hideMark/>
          </w:tcPr>
          <w:p w14:paraId="2E2B5E5C" w14:textId="333100B3" w:rsidR="00FE183F" w:rsidRPr="00B74998" w:rsidRDefault="00FE183F" w:rsidP="00FE183F">
            <w:pPr>
              <w:widowControl/>
              <w:autoSpaceDE/>
              <w:autoSpaceDN/>
              <w:jc w:val="right"/>
              <w:rPr>
                <w:rFonts w:eastAsia="Times New Roman"/>
                <w:color w:val="000000"/>
                <w:sz w:val="18"/>
                <w:szCs w:val="18"/>
              </w:rPr>
            </w:pPr>
            <w:r>
              <w:rPr>
                <w:color w:val="000000"/>
                <w:sz w:val="18"/>
                <w:szCs w:val="18"/>
              </w:rPr>
              <w:t>3.7</w:t>
            </w:r>
          </w:p>
        </w:tc>
        <w:tc>
          <w:tcPr>
            <w:tcW w:w="2096" w:type="dxa"/>
            <w:tcBorders>
              <w:top w:val="nil"/>
              <w:left w:val="nil"/>
              <w:bottom w:val="nil"/>
              <w:right w:val="nil"/>
            </w:tcBorders>
            <w:shd w:val="clear" w:color="auto" w:fill="auto"/>
            <w:noWrap/>
            <w:vAlign w:val="bottom"/>
            <w:hideMark/>
          </w:tcPr>
          <w:p w14:paraId="50CFABBD" w14:textId="399E7D93" w:rsidR="00FE183F" w:rsidRPr="00B74998" w:rsidRDefault="00FE183F" w:rsidP="00FE183F">
            <w:pPr>
              <w:widowControl/>
              <w:autoSpaceDE/>
              <w:autoSpaceDN/>
              <w:rPr>
                <w:rFonts w:eastAsia="Times New Roman"/>
                <w:color w:val="000000"/>
                <w:sz w:val="18"/>
                <w:szCs w:val="18"/>
              </w:rPr>
            </w:pPr>
            <w:r>
              <w:rPr>
                <w:color w:val="000000"/>
                <w:sz w:val="18"/>
                <w:szCs w:val="18"/>
              </w:rPr>
              <w:t>SD02 McGuire (D)</w:t>
            </w:r>
          </w:p>
        </w:tc>
        <w:tc>
          <w:tcPr>
            <w:tcW w:w="976" w:type="dxa"/>
            <w:tcBorders>
              <w:top w:val="nil"/>
              <w:left w:val="nil"/>
              <w:bottom w:val="nil"/>
              <w:right w:val="nil"/>
            </w:tcBorders>
            <w:shd w:val="clear" w:color="auto" w:fill="auto"/>
            <w:noWrap/>
            <w:vAlign w:val="bottom"/>
            <w:hideMark/>
          </w:tcPr>
          <w:p w14:paraId="49FC53F7" w14:textId="230FAA2B" w:rsidR="00FE183F" w:rsidRPr="00B74998" w:rsidRDefault="00FE183F" w:rsidP="00FE183F">
            <w:pPr>
              <w:widowControl/>
              <w:autoSpaceDE/>
              <w:autoSpaceDN/>
              <w:jc w:val="right"/>
              <w:rPr>
                <w:rFonts w:eastAsia="Times New Roman"/>
                <w:color w:val="000000"/>
                <w:sz w:val="18"/>
                <w:szCs w:val="18"/>
              </w:rPr>
            </w:pPr>
            <w:r>
              <w:rPr>
                <w:color w:val="000000"/>
                <w:sz w:val="18"/>
                <w:szCs w:val="18"/>
              </w:rPr>
              <w:t>4.3</w:t>
            </w:r>
          </w:p>
        </w:tc>
        <w:tc>
          <w:tcPr>
            <w:tcW w:w="2096" w:type="dxa"/>
            <w:tcBorders>
              <w:top w:val="nil"/>
              <w:left w:val="nil"/>
              <w:bottom w:val="nil"/>
              <w:right w:val="nil"/>
            </w:tcBorders>
            <w:shd w:val="clear" w:color="auto" w:fill="auto"/>
            <w:noWrap/>
            <w:vAlign w:val="bottom"/>
            <w:hideMark/>
          </w:tcPr>
          <w:p w14:paraId="702E108E" w14:textId="394299DF" w:rsidR="00FE183F" w:rsidRPr="00B74998" w:rsidRDefault="00FE183F" w:rsidP="00FE183F">
            <w:pPr>
              <w:widowControl/>
              <w:autoSpaceDE/>
              <w:autoSpaceDN/>
              <w:rPr>
                <w:rFonts w:eastAsia="Times New Roman"/>
                <w:color w:val="000000"/>
                <w:sz w:val="18"/>
                <w:szCs w:val="18"/>
              </w:rPr>
            </w:pPr>
            <w:r>
              <w:rPr>
                <w:color w:val="000000"/>
                <w:sz w:val="18"/>
                <w:szCs w:val="18"/>
              </w:rPr>
              <w:t>AD21 Papan (D)</w:t>
            </w:r>
          </w:p>
        </w:tc>
        <w:tc>
          <w:tcPr>
            <w:tcW w:w="976" w:type="dxa"/>
            <w:tcBorders>
              <w:top w:val="nil"/>
              <w:left w:val="nil"/>
              <w:bottom w:val="nil"/>
              <w:right w:val="nil"/>
            </w:tcBorders>
            <w:shd w:val="clear" w:color="auto" w:fill="auto"/>
            <w:noWrap/>
            <w:vAlign w:val="bottom"/>
            <w:hideMark/>
          </w:tcPr>
          <w:p w14:paraId="323E1205" w14:textId="1F6D5C37" w:rsidR="00FE183F" w:rsidRPr="00B74998" w:rsidRDefault="00FE183F" w:rsidP="00FE183F">
            <w:pPr>
              <w:widowControl/>
              <w:autoSpaceDE/>
              <w:autoSpaceDN/>
              <w:jc w:val="right"/>
              <w:rPr>
                <w:rFonts w:eastAsia="Times New Roman"/>
                <w:color w:val="000000"/>
                <w:sz w:val="18"/>
                <w:szCs w:val="18"/>
              </w:rPr>
            </w:pPr>
            <w:r>
              <w:rPr>
                <w:color w:val="000000"/>
                <w:sz w:val="18"/>
                <w:szCs w:val="18"/>
              </w:rPr>
              <w:t>3.6</w:t>
            </w:r>
          </w:p>
        </w:tc>
      </w:tr>
      <w:tr w:rsidR="00FE183F" w:rsidRPr="00B74998" w14:paraId="56A77D80" w14:textId="77777777" w:rsidTr="00F02E8D">
        <w:trPr>
          <w:trHeight w:val="300"/>
        </w:trPr>
        <w:tc>
          <w:tcPr>
            <w:tcW w:w="976" w:type="dxa"/>
            <w:tcBorders>
              <w:top w:val="nil"/>
              <w:left w:val="nil"/>
              <w:bottom w:val="nil"/>
              <w:right w:val="nil"/>
            </w:tcBorders>
            <w:shd w:val="clear" w:color="auto" w:fill="auto"/>
            <w:noWrap/>
            <w:vAlign w:val="bottom"/>
            <w:hideMark/>
          </w:tcPr>
          <w:p w14:paraId="26B342A3" w14:textId="77777777" w:rsidR="00FE183F" w:rsidRPr="00B74998" w:rsidRDefault="00FE183F" w:rsidP="00FE183F">
            <w:pPr>
              <w:widowControl/>
              <w:autoSpaceDE/>
              <w:autoSpaceDN/>
              <w:jc w:val="right"/>
              <w:rPr>
                <w:rFonts w:eastAsia="Times New Roman"/>
                <w:color w:val="000000"/>
                <w:sz w:val="18"/>
                <w:szCs w:val="18"/>
              </w:rPr>
            </w:pPr>
          </w:p>
        </w:tc>
        <w:tc>
          <w:tcPr>
            <w:tcW w:w="2096" w:type="dxa"/>
            <w:tcBorders>
              <w:top w:val="nil"/>
              <w:left w:val="nil"/>
              <w:bottom w:val="nil"/>
              <w:right w:val="nil"/>
            </w:tcBorders>
            <w:shd w:val="clear" w:color="auto" w:fill="auto"/>
            <w:noWrap/>
            <w:vAlign w:val="bottom"/>
            <w:hideMark/>
          </w:tcPr>
          <w:p w14:paraId="461036B7" w14:textId="1EA1BCA4" w:rsidR="00FE183F" w:rsidRPr="00B74998" w:rsidRDefault="00FE183F" w:rsidP="00FE183F">
            <w:pPr>
              <w:widowControl/>
              <w:autoSpaceDE/>
              <w:autoSpaceDN/>
              <w:rPr>
                <w:rFonts w:eastAsia="Times New Roman"/>
                <w:color w:val="000000"/>
                <w:sz w:val="18"/>
                <w:szCs w:val="18"/>
              </w:rPr>
            </w:pPr>
            <w:r>
              <w:rPr>
                <w:color w:val="000000"/>
                <w:sz w:val="18"/>
                <w:szCs w:val="18"/>
              </w:rPr>
              <w:t>CD47 Porter (D)</w:t>
            </w:r>
          </w:p>
        </w:tc>
        <w:tc>
          <w:tcPr>
            <w:tcW w:w="976" w:type="dxa"/>
            <w:tcBorders>
              <w:top w:val="nil"/>
              <w:left w:val="nil"/>
              <w:bottom w:val="nil"/>
              <w:right w:val="nil"/>
            </w:tcBorders>
            <w:shd w:val="clear" w:color="auto" w:fill="auto"/>
            <w:noWrap/>
            <w:vAlign w:val="bottom"/>
            <w:hideMark/>
          </w:tcPr>
          <w:p w14:paraId="770FD99A" w14:textId="38C9D34F" w:rsidR="00FE183F" w:rsidRPr="00B74998" w:rsidRDefault="00FE183F" w:rsidP="00FE183F">
            <w:pPr>
              <w:widowControl/>
              <w:autoSpaceDE/>
              <w:autoSpaceDN/>
              <w:jc w:val="right"/>
              <w:rPr>
                <w:rFonts w:eastAsia="Times New Roman"/>
                <w:color w:val="000000"/>
                <w:sz w:val="18"/>
                <w:szCs w:val="18"/>
              </w:rPr>
            </w:pPr>
            <w:r>
              <w:rPr>
                <w:color w:val="000000"/>
                <w:sz w:val="18"/>
                <w:szCs w:val="18"/>
              </w:rPr>
              <w:t>4.0</w:t>
            </w:r>
          </w:p>
        </w:tc>
        <w:tc>
          <w:tcPr>
            <w:tcW w:w="2096" w:type="dxa"/>
            <w:tcBorders>
              <w:top w:val="nil"/>
              <w:left w:val="nil"/>
              <w:bottom w:val="nil"/>
              <w:right w:val="nil"/>
            </w:tcBorders>
            <w:shd w:val="clear" w:color="auto" w:fill="auto"/>
            <w:noWrap/>
            <w:vAlign w:val="bottom"/>
            <w:hideMark/>
          </w:tcPr>
          <w:p w14:paraId="361BE1F5" w14:textId="230F4871" w:rsidR="00FE183F" w:rsidRPr="00B74998" w:rsidRDefault="00FE183F" w:rsidP="00FE183F">
            <w:pPr>
              <w:widowControl/>
              <w:autoSpaceDE/>
              <w:autoSpaceDN/>
              <w:rPr>
                <w:rFonts w:eastAsia="Times New Roman"/>
                <w:color w:val="000000"/>
                <w:sz w:val="18"/>
                <w:szCs w:val="18"/>
              </w:rPr>
            </w:pPr>
            <w:r>
              <w:rPr>
                <w:color w:val="000000"/>
                <w:sz w:val="18"/>
                <w:szCs w:val="18"/>
              </w:rPr>
              <w:t>SD36 Nguyen (R)</w:t>
            </w:r>
          </w:p>
        </w:tc>
        <w:tc>
          <w:tcPr>
            <w:tcW w:w="976" w:type="dxa"/>
            <w:tcBorders>
              <w:top w:val="nil"/>
              <w:left w:val="nil"/>
              <w:bottom w:val="nil"/>
              <w:right w:val="nil"/>
            </w:tcBorders>
            <w:shd w:val="clear" w:color="auto" w:fill="auto"/>
            <w:noWrap/>
            <w:vAlign w:val="bottom"/>
            <w:hideMark/>
          </w:tcPr>
          <w:p w14:paraId="66B834F7" w14:textId="66513E16" w:rsidR="00FE183F" w:rsidRPr="00B74998" w:rsidRDefault="00FE183F" w:rsidP="00FE183F">
            <w:pPr>
              <w:widowControl/>
              <w:autoSpaceDE/>
              <w:autoSpaceDN/>
              <w:jc w:val="right"/>
              <w:rPr>
                <w:rFonts w:eastAsia="Times New Roman"/>
                <w:color w:val="000000"/>
                <w:sz w:val="18"/>
                <w:szCs w:val="18"/>
              </w:rPr>
            </w:pPr>
            <w:r>
              <w:rPr>
                <w:color w:val="000000"/>
                <w:sz w:val="18"/>
                <w:szCs w:val="18"/>
              </w:rPr>
              <w:t>4.4</w:t>
            </w:r>
          </w:p>
        </w:tc>
        <w:tc>
          <w:tcPr>
            <w:tcW w:w="2096" w:type="dxa"/>
            <w:tcBorders>
              <w:top w:val="nil"/>
              <w:left w:val="nil"/>
              <w:bottom w:val="nil"/>
              <w:right w:val="nil"/>
            </w:tcBorders>
            <w:shd w:val="clear" w:color="auto" w:fill="auto"/>
            <w:noWrap/>
            <w:vAlign w:val="bottom"/>
            <w:hideMark/>
          </w:tcPr>
          <w:p w14:paraId="43D4D414" w14:textId="6B87747A" w:rsidR="00FE183F" w:rsidRPr="00B74998" w:rsidRDefault="00FE183F" w:rsidP="00FE183F">
            <w:pPr>
              <w:widowControl/>
              <w:autoSpaceDE/>
              <w:autoSpaceDN/>
              <w:rPr>
                <w:rFonts w:eastAsia="Times New Roman"/>
                <w:color w:val="000000"/>
                <w:sz w:val="18"/>
                <w:szCs w:val="18"/>
              </w:rPr>
            </w:pPr>
            <w:r>
              <w:rPr>
                <w:color w:val="000000"/>
                <w:sz w:val="18"/>
                <w:szCs w:val="18"/>
              </w:rPr>
              <w:t>AD72 Dixon (R)</w:t>
            </w:r>
          </w:p>
        </w:tc>
        <w:tc>
          <w:tcPr>
            <w:tcW w:w="976" w:type="dxa"/>
            <w:tcBorders>
              <w:top w:val="nil"/>
              <w:left w:val="nil"/>
              <w:bottom w:val="nil"/>
              <w:right w:val="nil"/>
            </w:tcBorders>
            <w:shd w:val="clear" w:color="auto" w:fill="auto"/>
            <w:noWrap/>
            <w:vAlign w:val="bottom"/>
            <w:hideMark/>
          </w:tcPr>
          <w:p w14:paraId="56D8CFC4" w14:textId="0F18DCE3" w:rsidR="00FE183F" w:rsidRPr="00B74998" w:rsidRDefault="00FE183F" w:rsidP="00FE183F">
            <w:pPr>
              <w:widowControl/>
              <w:autoSpaceDE/>
              <w:autoSpaceDN/>
              <w:jc w:val="right"/>
              <w:rPr>
                <w:rFonts w:eastAsia="Times New Roman"/>
                <w:color w:val="000000"/>
                <w:sz w:val="18"/>
                <w:szCs w:val="18"/>
              </w:rPr>
            </w:pPr>
            <w:r>
              <w:rPr>
                <w:color w:val="000000"/>
                <w:sz w:val="18"/>
                <w:szCs w:val="18"/>
              </w:rPr>
              <w:t>3.6</w:t>
            </w:r>
          </w:p>
        </w:tc>
      </w:tr>
      <w:tr w:rsidR="00FE183F" w:rsidRPr="00B74998" w14:paraId="52ABAC0C" w14:textId="77777777" w:rsidTr="00F02E8D">
        <w:trPr>
          <w:trHeight w:val="300"/>
        </w:trPr>
        <w:tc>
          <w:tcPr>
            <w:tcW w:w="976" w:type="dxa"/>
            <w:tcBorders>
              <w:top w:val="nil"/>
              <w:left w:val="nil"/>
              <w:bottom w:val="nil"/>
              <w:right w:val="nil"/>
            </w:tcBorders>
            <w:shd w:val="clear" w:color="auto" w:fill="auto"/>
            <w:noWrap/>
            <w:vAlign w:val="bottom"/>
            <w:hideMark/>
          </w:tcPr>
          <w:p w14:paraId="72867588" w14:textId="77777777" w:rsidR="00FE183F" w:rsidRPr="00B74998" w:rsidRDefault="00FE183F" w:rsidP="00FE183F">
            <w:pPr>
              <w:widowControl/>
              <w:autoSpaceDE/>
              <w:autoSpaceDN/>
              <w:jc w:val="right"/>
              <w:rPr>
                <w:rFonts w:eastAsia="Times New Roman"/>
                <w:color w:val="000000"/>
                <w:sz w:val="18"/>
                <w:szCs w:val="18"/>
              </w:rPr>
            </w:pPr>
          </w:p>
        </w:tc>
        <w:tc>
          <w:tcPr>
            <w:tcW w:w="2096" w:type="dxa"/>
            <w:tcBorders>
              <w:top w:val="nil"/>
              <w:left w:val="nil"/>
              <w:bottom w:val="nil"/>
              <w:right w:val="nil"/>
            </w:tcBorders>
            <w:shd w:val="clear" w:color="auto" w:fill="auto"/>
            <w:noWrap/>
            <w:vAlign w:val="bottom"/>
            <w:hideMark/>
          </w:tcPr>
          <w:p w14:paraId="2B57E109" w14:textId="41AED875" w:rsidR="00FE183F" w:rsidRPr="00B74998" w:rsidRDefault="00FE183F" w:rsidP="00FE183F">
            <w:pPr>
              <w:widowControl/>
              <w:autoSpaceDE/>
              <w:autoSpaceDN/>
              <w:rPr>
                <w:rFonts w:eastAsia="Times New Roman"/>
                <w:color w:val="000000"/>
                <w:sz w:val="18"/>
                <w:szCs w:val="18"/>
              </w:rPr>
            </w:pPr>
            <w:r>
              <w:rPr>
                <w:color w:val="000000"/>
                <w:sz w:val="18"/>
                <w:szCs w:val="18"/>
              </w:rPr>
              <w:t>CD49 Levin (D)</w:t>
            </w:r>
          </w:p>
        </w:tc>
        <w:tc>
          <w:tcPr>
            <w:tcW w:w="976" w:type="dxa"/>
            <w:tcBorders>
              <w:top w:val="nil"/>
              <w:left w:val="nil"/>
              <w:bottom w:val="nil"/>
              <w:right w:val="nil"/>
            </w:tcBorders>
            <w:shd w:val="clear" w:color="auto" w:fill="auto"/>
            <w:noWrap/>
            <w:vAlign w:val="bottom"/>
            <w:hideMark/>
          </w:tcPr>
          <w:p w14:paraId="6560EF35" w14:textId="48358AB8" w:rsidR="00FE183F" w:rsidRPr="00B74998" w:rsidRDefault="00FE183F" w:rsidP="00FE183F">
            <w:pPr>
              <w:widowControl/>
              <w:autoSpaceDE/>
              <w:autoSpaceDN/>
              <w:jc w:val="right"/>
              <w:rPr>
                <w:rFonts w:eastAsia="Times New Roman"/>
                <w:color w:val="000000"/>
                <w:sz w:val="18"/>
                <w:szCs w:val="18"/>
              </w:rPr>
            </w:pPr>
            <w:r>
              <w:rPr>
                <w:color w:val="000000"/>
                <w:sz w:val="18"/>
                <w:szCs w:val="18"/>
              </w:rPr>
              <w:t>4.0</w:t>
            </w:r>
          </w:p>
        </w:tc>
        <w:tc>
          <w:tcPr>
            <w:tcW w:w="2096" w:type="dxa"/>
            <w:tcBorders>
              <w:top w:val="nil"/>
              <w:left w:val="nil"/>
              <w:bottom w:val="nil"/>
              <w:right w:val="nil"/>
            </w:tcBorders>
            <w:shd w:val="clear" w:color="auto" w:fill="auto"/>
            <w:noWrap/>
            <w:vAlign w:val="bottom"/>
            <w:hideMark/>
          </w:tcPr>
          <w:p w14:paraId="52C5B565" w14:textId="255CBD2F" w:rsidR="00FE183F" w:rsidRPr="00B74998" w:rsidRDefault="00FE183F" w:rsidP="00FE183F">
            <w:pPr>
              <w:widowControl/>
              <w:autoSpaceDE/>
              <w:autoSpaceDN/>
              <w:rPr>
                <w:rFonts w:eastAsia="Times New Roman"/>
                <w:color w:val="000000"/>
                <w:sz w:val="18"/>
                <w:szCs w:val="18"/>
              </w:rPr>
            </w:pPr>
            <w:r>
              <w:rPr>
                <w:color w:val="000000"/>
                <w:sz w:val="18"/>
                <w:szCs w:val="18"/>
              </w:rPr>
              <w:t xml:space="preserve">SD32 </w:t>
            </w:r>
            <w:proofErr w:type="spellStart"/>
            <w:r>
              <w:rPr>
                <w:color w:val="000000"/>
                <w:sz w:val="18"/>
                <w:szCs w:val="18"/>
              </w:rPr>
              <w:t>Seyarto</w:t>
            </w:r>
            <w:proofErr w:type="spellEnd"/>
            <w:r>
              <w:rPr>
                <w:color w:val="000000"/>
                <w:sz w:val="18"/>
                <w:szCs w:val="18"/>
              </w:rPr>
              <w:t xml:space="preserve"> (R)</w:t>
            </w:r>
          </w:p>
        </w:tc>
        <w:tc>
          <w:tcPr>
            <w:tcW w:w="976" w:type="dxa"/>
            <w:tcBorders>
              <w:top w:val="nil"/>
              <w:left w:val="nil"/>
              <w:bottom w:val="nil"/>
              <w:right w:val="nil"/>
            </w:tcBorders>
            <w:shd w:val="clear" w:color="auto" w:fill="auto"/>
            <w:noWrap/>
            <w:vAlign w:val="bottom"/>
            <w:hideMark/>
          </w:tcPr>
          <w:p w14:paraId="05CCC82D" w14:textId="30F51139" w:rsidR="00FE183F" w:rsidRPr="00B74998" w:rsidRDefault="00FE183F" w:rsidP="00FE183F">
            <w:pPr>
              <w:widowControl/>
              <w:autoSpaceDE/>
              <w:autoSpaceDN/>
              <w:jc w:val="right"/>
              <w:rPr>
                <w:rFonts w:eastAsia="Times New Roman"/>
                <w:color w:val="000000"/>
                <w:sz w:val="18"/>
                <w:szCs w:val="18"/>
              </w:rPr>
            </w:pPr>
            <w:r>
              <w:rPr>
                <w:color w:val="000000"/>
                <w:sz w:val="18"/>
                <w:szCs w:val="18"/>
              </w:rPr>
              <w:t>4.6</w:t>
            </w:r>
          </w:p>
        </w:tc>
        <w:tc>
          <w:tcPr>
            <w:tcW w:w="2096" w:type="dxa"/>
            <w:tcBorders>
              <w:top w:val="nil"/>
              <w:left w:val="nil"/>
              <w:bottom w:val="nil"/>
              <w:right w:val="nil"/>
            </w:tcBorders>
            <w:shd w:val="clear" w:color="auto" w:fill="auto"/>
            <w:noWrap/>
            <w:vAlign w:val="bottom"/>
            <w:hideMark/>
          </w:tcPr>
          <w:p w14:paraId="1C2809B7" w14:textId="289D1D3A" w:rsidR="00FE183F" w:rsidRPr="00B74998" w:rsidRDefault="00FE183F" w:rsidP="00FE183F">
            <w:pPr>
              <w:widowControl/>
              <w:autoSpaceDE/>
              <w:autoSpaceDN/>
              <w:rPr>
                <w:rFonts w:eastAsia="Times New Roman"/>
                <w:color w:val="000000"/>
                <w:sz w:val="18"/>
                <w:szCs w:val="18"/>
              </w:rPr>
            </w:pPr>
            <w:r>
              <w:rPr>
                <w:color w:val="000000"/>
                <w:sz w:val="18"/>
                <w:szCs w:val="18"/>
              </w:rPr>
              <w:t>AD16 Bauer-Kahan (D)</w:t>
            </w:r>
          </w:p>
        </w:tc>
        <w:tc>
          <w:tcPr>
            <w:tcW w:w="976" w:type="dxa"/>
            <w:tcBorders>
              <w:top w:val="nil"/>
              <w:left w:val="nil"/>
              <w:bottom w:val="nil"/>
              <w:right w:val="nil"/>
            </w:tcBorders>
            <w:shd w:val="clear" w:color="auto" w:fill="auto"/>
            <w:noWrap/>
            <w:vAlign w:val="bottom"/>
            <w:hideMark/>
          </w:tcPr>
          <w:p w14:paraId="47098121" w14:textId="272CFB5F" w:rsidR="00FE183F" w:rsidRPr="00B74998" w:rsidRDefault="00FE183F" w:rsidP="00FE183F">
            <w:pPr>
              <w:widowControl/>
              <w:autoSpaceDE/>
              <w:autoSpaceDN/>
              <w:jc w:val="right"/>
              <w:rPr>
                <w:rFonts w:eastAsia="Times New Roman"/>
                <w:color w:val="000000"/>
                <w:sz w:val="18"/>
                <w:szCs w:val="18"/>
              </w:rPr>
            </w:pPr>
            <w:r>
              <w:rPr>
                <w:color w:val="000000"/>
                <w:sz w:val="18"/>
                <w:szCs w:val="18"/>
              </w:rPr>
              <w:t>3.7</w:t>
            </w:r>
          </w:p>
        </w:tc>
      </w:tr>
      <w:tr w:rsidR="00FE183F" w:rsidRPr="00B74998" w14:paraId="37C16B0F" w14:textId="77777777" w:rsidTr="00F02E8D">
        <w:trPr>
          <w:trHeight w:val="300"/>
        </w:trPr>
        <w:tc>
          <w:tcPr>
            <w:tcW w:w="976" w:type="dxa"/>
            <w:tcBorders>
              <w:top w:val="nil"/>
              <w:left w:val="nil"/>
              <w:bottom w:val="nil"/>
              <w:right w:val="nil"/>
            </w:tcBorders>
            <w:shd w:val="clear" w:color="auto" w:fill="auto"/>
            <w:noWrap/>
            <w:vAlign w:val="bottom"/>
            <w:hideMark/>
          </w:tcPr>
          <w:p w14:paraId="1EF43921" w14:textId="77777777" w:rsidR="00FE183F" w:rsidRPr="00B74998" w:rsidRDefault="00FE183F" w:rsidP="00FE183F">
            <w:pPr>
              <w:widowControl/>
              <w:autoSpaceDE/>
              <w:autoSpaceDN/>
              <w:jc w:val="right"/>
              <w:rPr>
                <w:rFonts w:eastAsia="Times New Roman"/>
                <w:color w:val="000000"/>
                <w:sz w:val="18"/>
                <w:szCs w:val="18"/>
              </w:rPr>
            </w:pPr>
          </w:p>
        </w:tc>
        <w:tc>
          <w:tcPr>
            <w:tcW w:w="2096" w:type="dxa"/>
            <w:tcBorders>
              <w:top w:val="nil"/>
              <w:left w:val="nil"/>
              <w:bottom w:val="nil"/>
              <w:right w:val="nil"/>
            </w:tcBorders>
            <w:shd w:val="clear" w:color="auto" w:fill="auto"/>
            <w:noWrap/>
            <w:vAlign w:val="bottom"/>
            <w:hideMark/>
          </w:tcPr>
          <w:p w14:paraId="1A4068A1" w14:textId="35A76170" w:rsidR="00FE183F" w:rsidRPr="00B74998" w:rsidRDefault="00FE183F" w:rsidP="00FE183F">
            <w:pPr>
              <w:widowControl/>
              <w:autoSpaceDE/>
              <w:autoSpaceDN/>
              <w:rPr>
                <w:rFonts w:eastAsia="Times New Roman"/>
                <w:color w:val="000000"/>
                <w:sz w:val="18"/>
                <w:szCs w:val="18"/>
              </w:rPr>
            </w:pPr>
            <w:r>
              <w:rPr>
                <w:color w:val="000000"/>
                <w:sz w:val="18"/>
                <w:szCs w:val="18"/>
              </w:rPr>
              <w:t>CD17 Khanna (D)</w:t>
            </w:r>
          </w:p>
        </w:tc>
        <w:tc>
          <w:tcPr>
            <w:tcW w:w="976" w:type="dxa"/>
            <w:tcBorders>
              <w:top w:val="nil"/>
              <w:left w:val="nil"/>
              <w:bottom w:val="nil"/>
              <w:right w:val="nil"/>
            </w:tcBorders>
            <w:shd w:val="clear" w:color="auto" w:fill="auto"/>
            <w:noWrap/>
            <w:vAlign w:val="bottom"/>
            <w:hideMark/>
          </w:tcPr>
          <w:p w14:paraId="33FAA076" w14:textId="6B49E31D" w:rsidR="00FE183F" w:rsidRPr="00B74998" w:rsidRDefault="00FE183F" w:rsidP="00FE183F">
            <w:pPr>
              <w:widowControl/>
              <w:autoSpaceDE/>
              <w:autoSpaceDN/>
              <w:jc w:val="right"/>
              <w:rPr>
                <w:rFonts w:eastAsia="Times New Roman"/>
                <w:color w:val="000000"/>
                <w:sz w:val="18"/>
                <w:szCs w:val="18"/>
              </w:rPr>
            </w:pPr>
            <w:r>
              <w:rPr>
                <w:color w:val="000000"/>
                <w:sz w:val="18"/>
                <w:szCs w:val="18"/>
              </w:rPr>
              <w:t>4.0</w:t>
            </w:r>
          </w:p>
        </w:tc>
        <w:tc>
          <w:tcPr>
            <w:tcW w:w="2096" w:type="dxa"/>
            <w:tcBorders>
              <w:top w:val="nil"/>
              <w:left w:val="nil"/>
              <w:bottom w:val="nil"/>
              <w:right w:val="nil"/>
            </w:tcBorders>
            <w:shd w:val="clear" w:color="auto" w:fill="auto"/>
            <w:noWrap/>
            <w:vAlign w:val="bottom"/>
            <w:hideMark/>
          </w:tcPr>
          <w:p w14:paraId="30EA9CA5" w14:textId="24F612E6" w:rsidR="00FE183F" w:rsidRPr="00B74998" w:rsidRDefault="00FE183F" w:rsidP="00FE183F">
            <w:pPr>
              <w:widowControl/>
              <w:autoSpaceDE/>
              <w:autoSpaceDN/>
              <w:rPr>
                <w:rFonts w:eastAsia="Times New Roman"/>
                <w:color w:val="000000"/>
                <w:sz w:val="18"/>
                <w:szCs w:val="18"/>
              </w:rPr>
            </w:pPr>
            <w:r>
              <w:rPr>
                <w:color w:val="000000"/>
                <w:sz w:val="18"/>
                <w:szCs w:val="18"/>
              </w:rPr>
              <w:t>SD06 Niello (R)</w:t>
            </w:r>
          </w:p>
        </w:tc>
        <w:tc>
          <w:tcPr>
            <w:tcW w:w="976" w:type="dxa"/>
            <w:tcBorders>
              <w:top w:val="nil"/>
              <w:left w:val="nil"/>
              <w:bottom w:val="nil"/>
              <w:right w:val="nil"/>
            </w:tcBorders>
            <w:shd w:val="clear" w:color="auto" w:fill="auto"/>
            <w:noWrap/>
            <w:vAlign w:val="bottom"/>
            <w:hideMark/>
          </w:tcPr>
          <w:p w14:paraId="33882E40" w14:textId="1D6C3EE9" w:rsidR="00FE183F" w:rsidRPr="00B74998" w:rsidRDefault="00FE183F" w:rsidP="00FE183F">
            <w:pPr>
              <w:widowControl/>
              <w:autoSpaceDE/>
              <w:autoSpaceDN/>
              <w:jc w:val="right"/>
              <w:rPr>
                <w:rFonts w:eastAsia="Times New Roman"/>
                <w:color w:val="000000"/>
                <w:sz w:val="18"/>
                <w:szCs w:val="18"/>
              </w:rPr>
            </w:pPr>
            <w:r>
              <w:rPr>
                <w:color w:val="000000"/>
                <w:sz w:val="18"/>
                <w:szCs w:val="18"/>
              </w:rPr>
              <w:t>4.6</w:t>
            </w:r>
          </w:p>
        </w:tc>
        <w:tc>
          <w:tcPr>
            <w:tcW w:w="2096" w:type="dxa"/>
            <w:tcBorders>
              <w:top w:val="nil"/>
              <w:left w:val="nil"/>
              <w:bottom w:val="nil"/>
              <w:right w:val="nil"/>
            </w:tcBorders>
            <w:shd w:val="clear" w:color="auto" w:fill="auto"/>
            <w:noWrap/>
            <w:vAlign w:val="bottom"/>
            <w:hideMark/>
          </w:tcPr>
          <w:p w14:paraId="0A630B98" w14:textId="5793B162" w:rsidR="00FE183F" w:rsidRPr="00B74998" w:rsidRDefault="00FE183F" w:rsidP="00FE183F">
            <w:pPr>
              <w:widowControl/>
              <w:autoSpaceDE/>
              <w:autoSpaceDN/>
              <w:rPr>
                <w:rFonts w:eastAsia="Times New Roman"/>
                <w:color w:val="000000"/>
                <w:sz w:val="18"/>
                <w:szCs w:val="18"/>
              </w:rPr>
            </w:pPr>
            <w:r>
              <w:rPr>
                <w:color w:val="000000"/>
                <w:sz w:val="18"/>
                <w:szCs w:val="18"/>
              </w:rPr>
              <w:t>AD12 Connolly (D)</w:t>
            </w:r>
          </w:p>
        </w:tc>
        <w:tc>
          <w:tcPr>
            <w:tcW w:w="976" w:type="dxa"/>
            <w:tcBorders>
              <w:top w:val="nil"/>
              <w:left w:val="nil"/>
              <w:bottom w:val="nil"/>
              <w:right w:val="nil"/>
            </w:tcBorders>
            <w:shd w:val="clear" w:color="auto" w:fill="auto"/>
            <w:noWrap/>
            <w:vAlign w:val="bottom"/>
            <w:hideMark/>
          </w:tcPr>
          <w:p w14:paraId="14C07E7E" w14:textId="6728926F" w:rsidR="00FE183F" w:rsidRPr="00B74998" w:rsidRDefault="00FE183F" w:rsidP="00FE183F">
            <w:pPr>
              <w:widowControl/>
              <w:autoSpaceDE/>
              <w:autoSpaceDN/>
              <w:jc w:val="right"/>
              <w:rPr>
                <w:rFonts w:eastAsia="Times New Roman"/>
                <w:color w:val="000000"/>
                <w:sz w:val="18"/>
                <w:szCs w:val="18"/>
              </w:rPr>
            </w:pPr>
            <w:r>
              <w:rPr>
                <w:color w:val="000000"/>
                <w:sz w:val="18"/>
                <w:szCs w:val="18"/>
              </w:rPr>
              <w:t>3.9</w:t>
            </w:r>
          </w:p>
        </w:tc>
      </w:tr>
      <w:tr w:rsidR="00FE183F" w:rsidRPr="00B74998" w14:paraId="1FBDD8C8" w14:textId="77777777" w:rsidTr="00F02E8D">
        <w:trPr>
          <w:trHeight w:val="300"/>
        </w:trPr>
        <w:tc>
          <w:tcPr>
            <w:tcW w:w="976" w:type="dxa"/>
            <w:tcBorders>
              <w:top w:val="nil"/>
              <w:left w:val="nil"/>
              <w:bottom w:val="nil"/>
              <w:right w:val="nil"/>
            </w:tcBorders>
            <w:shd w:val="clear" w:color="auto" w:fill="auto"/>
            <w:noWrap/>
            <w:vAlign w:val="bottom"/>
            <w:hideMark/>
          </w:tcPr>
          <w:p w14:paraId="1234FCA3" w14:textId="77777777" w:rsidR="00FE183F" w:rsidRPr="00B74998" w:rsidRDefault="00FE183F" w:rsidP="00FE183F">
            <w:pPr>
              <w:widowControl/>
              <w:autoSpaceDE/>
              <w:autoSpaceDN/>
              <w:jc w:val="right"/>
              <w:rPr>
                <w:rFonts w:eastAsia="Times New Roman"/>
                <w:color w:val="000000"/>
                <w:sz w:val="18"/>
                <w:szCs w:val="18"/>
              </w:rPr>
            </w:pPr>
          </w:p>
        </w:tc>
        <w:tc>
          <w:tcPr>
            <w:tcW w:w="2096" w:type="dxa"/>
            <w:tcBorders>
              <w:top w:val="nil"/>
              <w:left w:val="nil"/>
              <w:bottom w:val="nil"/>
              <w:right w:val="nil"/>
            </w:tcBorders>
            <w:shd w:val="clear" w:color="auto" w:fill="auto"/>
            <w:noWrap/>
            <w:vAlign w:val="bottom"/>
            <w:hideMark/>
          </w:tcPr>
          <w:p w14:paraId="15CCB90F" w14:textId="3A567712" w:rsidR="00FE183F" w:rsidRPr="00B74998" w:rsidRDefault="00FE183F" w:rsidP="00FE183F">
            <w:pPr>
              <w:widowControl/>
              <w:autoSpaceDE/>
              <w:autoSpaceDN/>
              <w:rPr>
                <w:rFonts w:eastAsia="Times New Roman"/>
                <w:color w:val="000000"/>
                <w:sz w:val="18"/>
                <w:szCs w:val="18"/>
              </w:rPr>
            </w:pPr>
            <w:r>
              <w:rPr>
                <w:color w:val="000000"/>
                <w:sz w:val="18"/>
                <w:szCs w:val="18"/>
              </w:rPr>
              <w:t>CD02 Huffman (D)</w:t>
            </w:r>
          </w:p>
        </w:tc>
        <w:tc>
          <w:tcPr>
            <w:tcW w:w="976" w:type="dxa"/>
            <w:tcBorders>
              <w:top w:val="nil"/>
              <w:left w:val="nil"/>
              <w:bottom w:val="nil"/>
              <w:right w:val="nil"/>
            </w:tcBorders>
            <w:shd w:val="clear" w:color="auto" w:fill="auto"/>
            <w:noWrap/>
            <w:vAlign w:val="bottom"/>
            <w:hideMark/>
          </w:tcPr>
          <w:p w14:paraId="69E41EA2" w14:textId="2AC64BBB" w:rsidR="00FE183F" w:rsidRPr="00B74998" w:rsidRDefault="00FE183F" w:rsidP="00FE183F">
            <w:pPr>
              <w:widowControl/>
              <w:autoSpaceDE/>
              <w:autoSpaceDN/>
              <w:jc w:val="right"/>
              <w:rPr>
                <w:rFonts w:eastAsia="Times New Roman"/>
                <w:color w:val="000000"/>
                <w:sz w:val="18"/>
                <w:szCs w:val="18"/>
              </w:rPr>
            </w:pPr>
            <w:r>
              <w:rPr>
                <w:color w:val="000000"/>
                <w:sz w:val="18"/>
                <w:szCs w:val="18"/>
              </w:rPr>
              <w:t>4.0</w:t>
            </w:r>
          </w:p>
        </w:tc>
        <w:tc>
          <w:tcPr>
            <w:tcW w:w="2096" w:type="dxa"/>
            <w:tcBorders>
              <w:top w:val="nil"/>
              <w:left w:val="nil"/>
              <w:bottom w:val="nil"/>
              <w:right w:val="nil"/>
            </w:tcBorders>
            <w:shd w:val="clear" w:color="auto" w:fill="auto"/>
            <w:noWrap/>
            <w:vAlign w:val="bottom"/>
            <w:hideMark/>
          </w:tcPr>
          <w:p w14:paraId="6F7810CE" w14:textId="7927CF5E" w:rsidR="00FE183F" w:rsidRPr="00B74998" w:rsidRDefault="00FE183F" w:rsidP="00FE183F">
            <w:pPr>
              <w:widowControl/>
              <w:autoSpaceDE/>
              <w:autoSpaceDN/>
              <w:rPr>
                <w:rFonts w:eastAsia="Times New Roman"/>
                <w:color w:val="000000"/>
                <w:sz w:val="18"/>
                <w:szCs w:val="18"/>
              </w:rPr>
            </w:pPr>
            <w:r>
              <w:rPr>
                <w:color w:val="000000"/>
                <w:sz w:val="18"/>
                <w:szCs w:val="18"/>
              </w:rPr>
              <w:t>SD30 Archuleta (D)</w:t>
            </w:r>
          </w:p>
        </w:tc>
        <w:tc>
          <w:tcPr>
            <w:tcW w:w="976" w:type="dxa"/>
            <w:tcBorders>
              <w:top w:val="nil"/>
              <w:left w:val="nil"/>
              <w:bottom w:val="nil"/>
              <w:right w:val="nil"/>
            </w:tcBorders>
            <w:shd w:val="clear" w:color="auto" w:fill="auto"/>
            <w:noWrap/>
            <w:vAlign w:val="bottom"/>
            <w:hideMark/>
          </w:tcPr>
          <w:p w14:paraId="6C299483" w14:textId="6CEE032A" w:rsidR="00FE183F" w:rsidRPr="00B74998" w:rsidRDefault="00FE183F" w:rsidP="00FE183F">
            <w:pPr>
              <w:widowControl/>
              <w:autoSpaceDE/>
              <w:autoSpaceDN/>
              <w:jc w:val="right"/>
              <w:rPr>
                <w:rFonts w:eastAsia="Times New Roman"/>
                <w:color w:val="000000"/>
                <w:sz w:val="18"/>
                <w:szCs w:val="18"/>
              </w:rPr>
            </w:pPr>
            <w:r>
              <w:rPr>
                <w:color w:val="000000"/>
                <w:sz w:val="18"/>
                <w:szCs w:val="18"/>
              </w:rPr>
              <w:t>4.8</w:t>
            </w:r>
          </w:p>
        </w:tc>
        <w:tc>
          <w:tcPr>
            <w:tcW w:w="2096" w:type="dxa"/>
            <w:tcBorders>
              <w:top w:val="nil"/>
              <w:left w:val="nil"/>
              <w:bottom w:val="nil"/>
              <w:right w:val="nil"/>
            </w:tcBorders>
            <w:shd w:val="clear" w:color="auto" w:fill="auto"/>
            <w:noWrap/>
            <w:vAlign w:val="bottom"/>
            <w:hideMark/>
          </w:tcPr>
          <w:p w14:paraId="1233522A" w14:textId="469CE5C1" w:rsidR="00FE183F" w:rsidRPr="00B74998" w:rsidRDefault="00FE183F" w:rsidP="00FE183F">
            <w:pPr>
              <w:widowControl/>
              <w:autoSpaceDE/>
              <w:autoSpaceDN/>
              <w:rPr>
                <w:rFonts w:eastAsia="Times New Roman"/>
                <w:color w:val="000000"/>
                <w:sz w:val="18"/>
                <w:szCs w:val="18"/>
              </w:rPr>
            </w:pPr>
            <w:r>
              <w:rPr>
                <w:color w:val="000000"/>
                <w:sz w:val="18"/>
                <w:szCs w:val="18"/>
              </w:rPr>
              <w:t>AD68 Valencia (D)</w:t>
            </w:r>
          </w:p>
        </w:tc>
        <w:tc>
          <w:tcPr>
            <w:tcW w:w="976" w:type="dxa"/>
            <w:tcBorders>
              <w:top w:val="nil"/>
              <w:left w:val="nil"/>
              <w:bottom w:val="nil"/>
              <w:right w:val="nil"/>
            </w:tcBorders>
            <w:shd w:val="clear" w:color="auto" w:fill="auto"/>
            <w:noWrap/>
            <w:vAlign w:val="bottom"/>
            <w:hideMark/>
          </w:tcPr>
          <w:p w14:paraId="55E3D060" w14:textId="4E91EF2B" w:rsidR="00FE183F" w:rsidRPr="00B74998" w:rsidRDefault="00FE183F" w:rsidP="00FE183F">
            <w:pPr>
              <w:widowControl/>
              <w:autoSpaceDE/>
              <w:autoSpaceDN/>
              <w:jc w:val="right"/>
              <w:rPr>
                <w:rFonts w:eastAsia="Times New Roman"/>
                <w:color w:val="000000"/>
                <w:sz w:val="18"/>
                <w:szCs w:val="18"/>
              </w:rPr>
            </w:pPr>
            <w:r>
              <w:rPr>
                <w:color w:val="000000"/>
                <w:sz w:val="18"/>
                <w:szCs w:val="18"/>
              </w:rPr>
              <w:t>3.9</w:t>
            </w:r>
          </w:p>
        </w:tc>
      </w:tr>
      <w:tr w:rsidR="00FE183F" w:rsidRPr="00B74998" w14:paraId="302E70F7" w14:textId="77777777" w:rsidTr="00F02E8D">
        <w:trPr>
          <w:trHeight w:val="300"/>
        </w:trPr>
        <w:tc>
          <w:tcPr>
            <w:tcW w:w="976" w:type="dxa"/>
            <w:tcBorders>
              <w:top w:val="nil"/>
              <w:left w:val="nil"/>
              <w:bottom w:val="nil"/>
              <w:right w:val="nil"/>
            </w:tcBorders>
            <w:shd w:val="clear" w:color="auto" w:fill="auto"/>
            <w:noWrap/>
            <w:vAlign w:val="bottom"/>
            <w:hideMark/>
          </w:tcPr>
          <w:p w14:paraId="51322555" w14:textId="77777777" w:rsidR="00FE183F" w:rsidRPr="00B74998" w:rsidRDefault="00FE183F" w:rsidP="00FE183F">
            <w:pPr>
              <w:widowControl/>
              <w:autoSpaceDE/>
              <w:autoSpaceDN/>
              <w:jc w:val="right"/>
              <w:rPr>
                <w:rFonts w:eastAsia="Times New Roman"/>
                <w:color w:val="000000"/>
                <w:sz w:val="18"/>
                <w:szCs w:val="18"/>
              </w:rPr>
            </w:pPr>
          </w:p>
        </w:tc>
        <w:tc>
          <w:tcPr>
            <w:tcW w:w="2096" w:type="dxa"/>
            <w:tcBorders>
              <w:top w:val="nil"/>
              <w:left w:val="nil"/>
              <w:bottom w:val="nil"/>
              <w:right w:val="nil"/>
            </w:tcBorders>
            <w:shd w:val="clear" w:color="auto" w:fill="auto"/>
            <w:noWrap/>
            <w:vAlign w:val="bottom"/>
            <w:hideMark/>
          </w:tcPr>
          <w:p w14:paraId="0BCEFBF5" w14:textId="0D336794" w:rsidR="00FE183F" w:rsidRPr="00B74998" w:rsidRDefault="00FE183F" w:rsidP="00FE183F">
            <w:pPr>
              <w:widowControl/>
              <w:autoSpaceDE/>
              <w:autoSpaceDN/>
              <w:rPr>
                <w:rFonts w:eastAsia="Times New Roman"/>
                <w:color w:val="000000"/>
                <w:sz w:val="18"/>
                <w:szCs w:val="18"/>
              </w:rPr>
            </w:pPr>
            <w:r>
              <w:rPr>
                <w:color w:val="000000"/>
                <w:sz w:val="18"/>
                <w:szCs w:val="18"/>
              </w:rPr>
              <w:t>CD03 Kiley (R)</w:t>
            </w:r>
          </w:p>
        </w:tc>
        <w:tc>
          <w:tcPr>
            <w:tcW w:w="976" w:type="dxa"/>
            <w:tcBorders>
              <w:top w:val="nil"/>
              <w:left w:val="nil"/>
              <w:bottom w:val="nil"/>
              <w:right w:val="nil"/>
            </w:tcBorders>
            <w:shd w:val="clear" w:color="auto" w:fill="auto"/>
            <w:noWrap/>
            <w:vAlign w:val="bottom"/>
            <w:hideMark/>
          </w:tcPr>
          <w:p w14:paraId="1EA4A3D2" w14:textId="4CAE8248" w:rsidR="00FE183F" w:rsidRPr="00B74998" w:rsidRDefault="00FE183F" w:rsidP="00FE183F">
            <w:pPr>
              <w:widowControl/>
              <w:autoSpaceDE/>
              <w:autoSpaceDN/>
              <w:jc w:val="right"/>
              <w:rPr>
                <w:rFonts w:eastAsia="Times New Roman"/>
                <w:color w:val="000000"/>
                <w:sz w:val="18"/>
                <w:szCs w:val="18"/>
              </w:rPr>
            </w:pPr>
            <w:r>
              <w:rPr>
                <w:color w:val="000000"/>
                <w:sz w:val="18"/>
                <w:szCs w:val="18"/>
              </w:rPr>
              <w:t>4.2</w:t>
            </w:r>
          </w:p>
        </w:tc>
        <w:tc>
          <w:tcPr>
            <w:tcW w:w="2096" w:type="dxa"/>
            <w:tcBorders>
              <w:top w:val="nil"/>
              <w:left w:val="nil"/>
              <w:bottom w:val="nil"/>
              <w:right w:val="nil"/>
            </w:tcBorders>
            <w:shd w:val="clear" w:color="auto" w:fill="auto"/>
            <w:noWrap/>
            <w:vAlign w:val="bottom"/>
            <w:hideMark/>
          </w:tcPr>
          <w:p w14:paraId="2D2D8383" w14:textId="0015B900" w:rsidR="00FE183F" w:rsidRPr="00B74998" w:rsidRDefault="00FE183F" w:rsidP="00FE183F">
            <w:pPr>
              <w:widowControl/>
              <w:autoSpaceDE/>
              <w:autoSpaceDN/>
              <w:rPr>
                <w:rFonts w:eastAsia="Times New Roman"/>
                <w:color w:val="000000"/>
                <w:sz w:val="18"/>
                <w:szCs w:val="18"/>
              </w:rPr>
            </w:pPr>
            <w:r>
              <w:rPr>
                <w:color w:val="000000"/>
                <w:sz w:val="18"/>
                <w:szCs w:val="18"/>
              </w:rPr>
              <w:t>SD22 Rubio (D)</w:t>
            </w:r>
          </w:p>
        </w:tc>
        <w:tc>
          <w:tcPr>
            <w:tcW w:w="976" w:type="dxa"/>
            <w:tcBorders>
              <w:top w:val="nil"/>
              <w:left w:val="nil"/>
              <w:bottom w:val="nil"/>
              <w:right w:val="nil"/>
            </w:tcBorders>
            <w:shd w:val="clear" w:color="auto" w:fill="auto"/>
            <w:noWrap/>
            <w:vAlign w:val="bottom"/>
            <w:hideMark/>
          </w:tcPr>
          <w:p w14:paraId="461AF25C" w14:textId="71C0AFB3" w:rsidR="00FE183F" w:rsidRPr="00B74998" w:rsidRDefault="00FE183F" w:rsidP="00FE183F">
            <w:pPr>
              <w:widowControl/>
              <w:autoSpaceDE/>
              <w:autoSpaceDN/>
              <w:jc w:val="right"/>
              <w:rPr>
                <w:rFonts w:eastAsia="Times New Roman"/>
                <w:color w:val="000000"/>
                <w:sz w:val="18"/>
                <w:szCs w:val="18"/>
              </w:rPr>
            </w:pPr>
            <w:r>
              <w:rPr>
                <w:color w:val="000000"/>
                <w:sz w:val="18"/>
                <w:szCs w:val="18"/>
              </w:rPr>
              <w:t>5.0</w:t>
            </w:r>
          </w:p>
        </w:tc>
        <w:tc>
          <w:tcPr>
            <w:tcW w:w="2096" w:type="dxa"/>
            <w:tcBorders>
              <w:top w:val="nil"/>
              <w:left w:val="nil"/>
              <w:bottom w:val="nil"/>
              <w:right w:val="nil"/>
            </w:tcBorders>
            <w:shd w:val="clear" w:color="auto" w:fill="auto"/>
            <w:noWrap/>
            <w:vAlign w:val="bottom"/>
            <w:hideMark/>
          </w:tcPr>
          <w:p w14:paraId="12D08EFD" w14:textId="02CF0908" w:rsidR="00FE183F" w:rsidRPr="00B74998" w:rsidRDefault="00FE183F" w:rsidP="00FE183F">
            <w:pPr>
              <w:widowControl/>
              <w:autoSpaceDE/>
              <w:autoSpaceDN/>
              <w:rPr>
                <w:rFonts w:eastAsia="Times New Roman"/>
                <w:color w:val="000000"/>
                <w:sz w:val="18"/>
                <w:szCs w:val="18"/>
              </w:rPr>
            </w:pPr>
            <w:r>
              <w:rPr>
                <w:color w:val="000000"/>
                <w:sz w:val="18"/>
                <w:szCs w:val="18"/>
              </w:rPr>
              <w:t>AD77 Boerner Horvath (D)</w:t>
            </w:r>
          </w:p>
        </w:tc>
        <w:tc>
          <w:tcPr>
            <w:tcW w:w="976" w:type="dxa"/>
            <w:tcBorders>
              <w:top w:val="nil"/>
              <w:left w:val="nil"/>
              <w:bottom w:val="nil"/>
              <w:right w:val="nil"/>
            </w:tcBorders>
            <w:shd w:val="clear" w:color="auto" w:fill="auto"/>
            <w:noWrap/>
            <w:vAlign w:val="bottom"/>
            <w:hideMark/>
          </w:tcPr>
          <w:p w14:paraId="660A3209" w14:textId="447680AA" w:rsidR="00FE183F" w:rsidRPr="00B74998" w:rsidRDefault="00FE183F" w:rsidP="00FE183F">
            <w:pPr>
              <w:widowControl/>
              <w:autoSpaceDE/>
              <w:autoSpaceDN/>
              <w:jc w:val="right"/>
              <w:rPr>
                <w:rFonts w:eastAsia="Times New Roman"/>
                <w:color w:val="000000"/>
                <w:sz w:val="18"/>
                <w:szCs w:val="18"/>
              </w:rPr>
            </w:pPr>
            <w:r>
              <w:rPr>
                <w:color w:val="000000"/>
                <w:sz w:val="18"/>
                <w:szCs w:val="18"/>
              </w:rPr>
              <w:t>3.9</w:t>
            </w:r>
          </w:p>
        </w:tc>
      </w:tr>
      <w:tr w:rsidR="00FE183F" w:rsidRPr="00B74998" w14:paraId="0FC01EB4" w14:textId="77777777" w:rsidTr="00F02E8D">
        <w:trPr>
          <w:trHeight w:val="300"/>
        </w:trPr>
        <w:tc>
          <w:tcPr>
            <w:tcW w:w="976" w:type="dxa"/>
            <w:tcBorders>
              <w:top w:val="nil"/>
              <w:left w:val="nil"/>
              <w:bottom w:val="nil"/>
              <w:right w:val="nil"/>
            </w:tcBorders>
            <w:shd w:val="clear" w:color="auto" w:fill="auto"/>
            <w:noWrap/>
            <w:vAlign w:val="bottom"/>
            <w:hideMark/>
          </w:tcPr>
          <w:p w14:paraId="00B08A94" w14:textId="77777777" w:rsidR="00FE183F" w:rsidRPr="00B74998" w:rsidRDefault="00FE183F" w:rsidP="00FE183F">
            <w:pPr>
              <w:widowControl/>
              <w:autoSpaceDE/>
              <w:autoSpaceDN/>
              <w:jc w:val="right"/>
              <w:rPr>
                <w:rFonts w:eastAsia="Times New Roman"/>
                <w:color w:val="000000"/>
                <w:sz w:val="18"/>
                <w:szCs w:val="18"/>
              </w:rPr>
            </w:pPr>
          </w:p>
        </w:tc>
        <w:tc>
          <w:tcPr>
            <w:tcW w:w="2096" w:type="dxa"/>
            <w:tcBorders>
              <w:top w:val="nil"/>
              <w:left w:val="nil"/>
              <w:bottom w:val="nil"/>
              <w:right w:val="nil"/>
            </w:tcBorders>
            <w:shd w:val="clear" w:color="auto" w:fill="auto"/>
            <w:noWrap/>
            <w:vAlign w:val="bottom"/>
            <w:hideMark/>
          </w:tcPr>
          <w:p w14:paraId="0FC0F0E3" w14:textId="77777777" w:rsidR="00FE183F" w:rsidRPr="00B74998" w:rsidRDefault="00FE183F" w:rsidP="00FE183F">
            <w:pPr>
              <w:widowControl/>
              <w:autoSpaceDE/>
              <w:autoSpaceDN/>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7E5F2E1" w14:textId="77777777" w:rsidR="00FE183F" w:rsidRPr="00B74998" w:rsidRDefault="00FE183F" w:rsidP="00FE183F">
            <w:pPr>
              <w:widowControl/>
              <w:autoSpaceDE/>
              <w:autoSpaceDN/>
              <w:rPr>
                <w:rFonts w:ascii="Times New Roman" w:eastAsia="Times New Roman" w:hAnsi="Times New Roman" w:cs="Times New Roman"/>
                <w:sz w:val="20"/>
                <w:szCs w:val="20"/>
              </w:rPr>
            </w:pPr>
          </w:p>
        </w:tc>
        <w:tc>
          <w:tcPr>
            <w:tcW w:w="2096" w:type="dxa"/>
            <w:tcBorders>
              <w:top w:val="nil"/>
              <w:left w:val="nil"/>
              <w:bottom w:val="nil"/>
              <w:right w:val="nil"/>
            </w:tcBorders>
            <w:shd w:val="clear" w:color="auto" w:fill="auto"/>
            <w:noWrap/>
            <w:vAlign w:val="bottom"/>
            <w:hideMark/>
          </w:tcPr>
          <w:p w14:paraId="4BA392D8" w14:textId="77777777" w:rsidR="00FE183F" w:rsidRPr="00B74998" w:rsidRDefault="00FE183F" w:rsidP="00FE183F">
            <w:pPr>
              <w:widowControl/>
              <w:autoSpaceDE/>
              <w:autoSpaceDN/>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D453651" w14:textId="77777777" w:rsidR="00FE183F" w:rsidRPr="00B74998" w:rsidRDefault="00FE183F" w:rsidP="00FE183F">
            <w:pPr>
              <w:widowControl/>
              <w:autoSpaceDE/>
              <w:autoSpaceDN/>
              <w:rPr>
                <w:rFonts w:ascii="Times New Roman" w:eastAsia="Times New Roman" w:hAnsi="Times New Roman" w:cs="Times New Roman"/>
                <w:sz w:val="20"/>
                <w:szCs w:val="20"/>
              </w:rPr>
            </w:pPr>
          </w:p>
        </w:tc>
        <w:tc>
          <w:tcPr>
            <w:tcW w:w="2096" w:type="dxa"/>
            <w:tcBorders>
              <w:top w:val="nil"/>
              <w:left w:val="nil"/>
              <w:bottom w:val="nil"/>
              <w:right w:val="nil"/>
            </w:tcBorders>
            <w:shd w:val="clear" w:color="auto" w:fill="auto"/>
            <w:noWrap/>
            <w:vAlign w:val="bottom"/>
            <w:hideMark/>
          </w:tcPr>
          <w:p w14:paraId="4341B710" w14:textId="77777777" w:rsidR="00FE183F" w:rsidRPr="00B74998" w:rsidRDefault="00FE183F" w:rsidP="00FE183F">
            <w:pPr>
              <w:widowControl/>
              <w:autoSpaceDE/>
              <w:autoSpaceDN/>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B18C165" w14:textId="77777777" w:rsidR="00FE183F" w:rsidRPr="00B74998" w:rsidRDefault="00FE183F" w:rsidP="00FE183F">
            <w:pPr>
              <w:widowControl/>
              <w:autoSpaceDE/>
              <w:autoSpaceDN/>
              <w:rPr>
                <w:rFonts w:ascii="Times New Roman" w:eastAsia="Times New Roman" w:hAnsi="Times New Roman" w:cs="Times New Roman"/>
                <w:sz w:val="20"/>
                <w:szCs w:val="20"/>
              </w:rPr>
            </w:pPr>
          </w:p>
        </w:tc>
      </w:tr>
      <w:tr w:rsidR="00FE183F" w:rsidRPr="00B74998" w14:paraId="5B5B3A3E" w14:textId="77777777" w:rsidTr="00F02E8D">
        <w:trPr>
          <w:trHeight w:val="300"/>
        </w:trPr>
        <w:tc>
          <w:tcPr>
            <w:tcW w:w="976" w:type="dxa"/>
            <w:tcBorders>
              <w:top w:val="nil"/>
              <w:left w:val="nil"/>
              <w:bottom w:val="nil"/>
              <w:right w:val="nil"/>
            </w:tcBorders>
            <w:shd w:val="clear" w:color="auto" w:fill="auto"/>
            <w:noWrap/>
            <w:vAlign w:val="bottom"/>
            <w:hideMark/>
          </w:tcPr>
          <w:p w14:paraId="58669F27" w14:textId="77777777" w:rsidR="00FE183F" w:rsidRPr="00B74998" w:rsidRDefault="00FE183F" w:rsidP="00FE183F">
            <w:pPr>
              <w:widowControl/>
              <w:autoSpaceDE/>
              <w:autoSpaceDN/>
              <w:rPr>
                <w:rFonts w:eastAsia="Times New Roman"/>
                <w:color w:val="000000"/>
              </w:rPr>
            </w:pPr>
            <w:r w:rsidRPr="00B74998">
              <w:rPr>
                <w:rFonts w:eastAsia="Times New Roman"/>
                <w:color w:val="000000"/>
              </w:rPr>
              <w:t>Highest</w:t>
            </w:r>
          </w:p>
        </w:tc>
        <w:tc>
          <w:tcPr>
            <w:tcW w:w="2096" w:type="dxa"/>
            <w:tcBorders>
              <w:top w:val="nil"/>
              <w:left w:val="nil"/>
              <w:bottom w:val="nil"/>
              <w:right w:val="nil"/>
            </w:tcBorders>
            <w:shd w:val="clear" w:color="auto" w:fill="auto"/>
            <w:noWrap/>
            <w:vAlign w:val="bottom"/>
            <w:hideMark/>
          </w:tcPr>
          <w:p w14:paraId="73F48B1C" w14:textId="65682C33" w:rsidR="00FE183F" w:rsidRPr="00B74998" w:rsidRDefault="00FE183F" w:rsidP="00FE183F">
            <w:pPr>
              <w:widowControl/>
              <w:autoSpaceDE/>
              <w:autoSpaceDN/>
              <w:rPr>
                <w:rFonts w:eastAsia="Times New Roman"/>
                <w:color w:val="000000"/>
                <w:sz w:val="18"/>
                <w:szCs w:val="18"/>
              </w:rPr>
            </w:pPr>
            <w:r>
              <w:rPr>
                <w:color w:val="000000"/>
                <w:sz w:val="18"/>
                <w:szCs w:val="18"/>
              </w:rPr>
              <w:t>CD24 Carbajal (D)</w:t>
            </w:r>
          </w:p>
        </w:tc>
        <w:tc>
          <w:tcPr>
            <w:tcW w:w="976" w:type="dxa"/>
            <w:tcBorders>
              <w:top w:val="nil"/>
              <w:left w:val="nil"/>
              <w:bottom w:val="nil"/>
              <w:right w:val="nil"/>
            </w:tcBorders>
            <w:shd w:val="clear" w:color="auto" w:fill="auto"/>
            <w:noWrap/>
            <w:vAlign w:val="bottom"/>
            <w:hideMark/>
          </w:tcPr>
          <w:p w14:paraId="07899940" w14:textId="5CDF7C42" w:rsidR="00FE183F" w:rsidRPr="00B74998" w:rsidRDefault="00FE183F" w:rsidP="00FE183F">
            <w:pPr>
              <w:widowControl/>
              <w:autoSpaceDE/>
              <w:autoSpaceDN/>
              <w:jc w:val="right"/>
              <w:rPr>
                <w:rFonts w:eastAsia="Times New Roman"/>
                <w:color w:val="000000"/>
                <w:sz w:val="18"/>
                <w:szCs w:val="18"/>
              </w:rPr>
            </w:pPr>
            <w:r>
              <w:rPr>
                <w:color w:val="000000"/>
                <w:sz w:val="18"/>
                <w:szCs w:val="18"/>
              </w:rPr>
              <w:t>6.4</w:t>
            </w:r>
          </w:p>
        </w:tc>
        <w:tc>
          <w:tcPr>
            <w:tcW w:w="2096" w:type="dxa"/>
            <w:tcBorders>
              <w:top w:val="nil"/>
              <w:left w:val="nil"/>
              <w:bottom w:val="nil"/>
              <w:right w:val="nil"/>
            </w:tcBorders>
            <w:shd w:val="clear" w:color="auto" w:fill="auto"/>
            <w:noWrap/>
            <w:vAlign w:val="bottom"/>
            <w:hideMark/>
          </w:tcPr>
          <w:p w14:paraId="44C8EB44" w14:textId="456C2FF4" w:rsidR="00FE183F" w:rsidRPr="00B74998" w:rsidRDefault="00FE183F" w:rsidP="00FE183F">
            <w:pPr>
              <w:widowControl/>
              <w:autoSpaceDE/>
              <w:autoSpaceDN/>
              <w:rPr>
                <w:rFonts w:eastAsia="Times New Roman"/>
                <w:color w:val="000000"/>
                <w:sz w:val="18"/>
                <w:szCs w:val="18"/>
              </w:rPr>
            </w:pPr>
            <w:r>
              <w:rPr>
                <w:color w:val="000000"/>
                <w:sz w:val="18"/>
                <w:szCs w:val="18"/>
              </w:rPr>
              <w:t>SD08 Ashby (D)</w:t>
            </w:r>
          </w:p>
        </w:tc>
        <w:tc>
          <w:tcPr>
            <w:tcW w:w="976" w:type="dxa"/>
            <w:tcBorders>
              <w:top w:val="nil"/>
              <w:left w:val="nil"/>
              <w:bottom w:val="nil"/>
              <w:right w:val="nil"/>
            </w:tcBorders>
            <w:shd w:val="clear" w:color="auto" w:fill="auto"/>
            <w:noWrap/>
            <w:vAlign w:val="bottom"/>
            <w:hideMark/>
          </w:tcPr>
          <w:p w14:paraId="6AF66053" w14:textId="4316AD7E" w:rsidR="00FE183F" w:rsidRPr="00B74998" w:rsidRDefault="00FE183F" w:rsidP="00FE183F">
            <w:pPr>
              <w:widowControl/>
              <w:autoSpaceDE/>
              <w:autoSpaceDN/>
              <w:jc w:val="right"/>
              <w:rPr>
                <w:rFonts w:eastAsia="Times New Roman"/>
                <w:color w:val="000000"/>
                <w:sz w:val="18"/>
                <w:szCs w:val="18"/>
              </w:rPr>
            </w:pPr>
            <w:r>
              <w:rPr>
                <w:color w:val="000000"/>
                <w:sz w:val="18"/>
                <w:szCs w:val="18"/>
              </w:rPr>
              <w:t>5.0</w:t>
            </w:r>
          </w:p>
        </w:tc>
        <w:tc>
          <w:tcPr>
            <w:tcW w:w="2096" w:type="dxa"/>
            <w:tcBorders>
              <w:top w:val="nil"/>
              <w:left w:val="nil"/>
              <w:bottom w:val="nil"/>
              <w:right w:val="nil"/>
            </w:tcBorders>
            <w:shd w:val="clear" w:color="auto" w:fill="auto"/>
            <w:noWrap/>
            <w:vAlign w:val="bottom"/>
            <w:hideMark/>
          </w:tcPr>
          <w:p w14:paraId="08DA3B14" w14:textId="2B66C084" w:rsidR="00FE183F" w:rsidRPr="00B74998" w:rsidRDefault="00FE183F" w:rsidP="00FE183F">
            <w:pPr>
              <w:widowControl/>
              <w:autoSpaceDE/>
              <w:autoSpaceDN/>
              <w:rPr>
                <w:rFonts w:eastAsia="Times New Roman"/>
                <w:color w:val="000000"/>
                <w:sz w:val="18"/>
                <w:szCs w:val="18"/>
              </w:rPr>
            </w:pPr>
            <w:r>
              <w:rPr>
                <w:color w:val="000000"/>
                <w:sz w:val="18"/>
                <w:szCs w:val="18"/>
              </w:rPr>
              <w:t>AD32 Fong (R)</w:t>
            </w:r>
          </w:p>
        </w:tc>
        <w:tc>
          <w:tcPr>
            <w:tcW w:w="976" w:type="dxa"/>
            <w:tcBorders>
              <w:top w:val="nil"/>
              <w:left w:val="nil"/>
              <w:bottom w:val="nil"/>
              <w:right w:val="nil"/>
            </w:tcBorders>
            <w:shd w:val="clear" w:color="auto" w:fill="auto"/>
            <w:noWrap/>
            <w:vAlign w:val="bottom"/>
            <w:hideMark/>
          </w:tcPr>
          <w:p w14:paraId="37192989" w14:textId="7AE016DE" w:rsidR="00FE183F" w:rsidRPr="00B74998" w:rsidRDefault="00FE183F" w:rsidP="00FE183F">
            <w:pPr>
              <w:widowControl/>
              <w:autoSpaceDE/>
              <w:autoSpaceDN/>
              <w:jc w:val="right"/>
              <w:rPr>
                <w:rFonts w:eastAsia="Times New Roman"/>
                <w:color w:val="000000"/>
                <w:sz w:val="18"/>
                <w:szCs w:val="18"/>
              </w:rPr>
            </w:pPr>
            <w:r>
              <w:rPr>
                <w:color w:val="000000"/>
                <w:sz w:val="18"/>
                <w:szCs w:val="18"/>
              </w:rPr>
              <w:t>6.7</w:t>
            </w:r>
          </w:p>
        </w:tc>
      </w:tr>
      <w:tr w:rsidR="00FE183F" w:rsidRPr="00B74998" w14:paraId="10A819C9" w14:textId="77777777" w:rsidTr="00F02E8D">
        <w:trPr>
          <w:trHeight w:val="300"/>
        </w:trPr>
        <w:tc>
          <w:tcPr>
            <w:tcW w:w="976" w:type="dxa"/>
            <w:tcBorders>
              <w:top w:val="nil"/>
              <w:left w:val="nil"/>
              <w:bottom w:val="nil"/>
              <w:right w:val="nil"/>
            </w:tcBorders>
            <w:shd w:val="clear" w:color="auto" w:fill="auto"/>
            <w:noWrap/>
            <w:vAlign w:val="bottom"/>
            <w:hideMark/>
          </w:tcPr>
          <w:p w14:paraId="55D655AE" w14:textId="77777777" w:rsidR="00FE183F" w:rsidRPr="00B74998" w:rsidRDefault="00FE183F" w:rsidP="00FE183F">
            <w:pPr>
              <w:widowControl/>
              <w:autoSpaceDE/>
              <w:autoSpaceDN/>
              <w:jc w:val="right"/>
              <w:rPr>
                <w:rFonts w:eastAsia="Times New Roman"/>
                <w:color w:val="000000"/>
                <w:sz w:val="18"/>
                <w:szCs w:val="18"/>
              </w:rPr>
            </w:pPr>
          </w:p>
        </w:tc>
        <w:tc>
          <w:tcPr>
            <w:tcW w:w="2096" w:type="dxa"/>
            <w:tcBorders>
              <w:top w:val="nil"/>
              <w:left w:val="nil"/>
              <w:bottom w:val="nil"/>
              <w:right w:val="nil"/>
            </w:tcBorders>
            <w:shd w:val="clear" w:color="auto" w:fill="auto"/>
            <w:noWrap/>
            <w:vAlign w:val="bottom"/>
            <w:hideMark/>
          </w:tcPr>
          <w:p w14:paraId="1AA1E967" w14:textId="2B15D008" w:rsidR="00FE183F" w:rsidRPr="00B74998" w:rsidRDefault="00FE183F" w:rsidP="00FE183F">
            <w:pPr>
              <w:widowControl/>
              <w:autoSpaceDE/>
              <w:autoSpaceDN/>
              <w:rPr>
                <w:rFonts w:eastAsia="Times New Roman"/>
                <w:color w:val="000000"/>
                <w:sz w:val="18"/>
                <w:szCs w:val="18"/>
              </w:rPr>
            </w:pPr>
            <w:r>
              <w:rPr>
                <w:color w:val="000000"/>
                <w:sz w:val="18"/>
                <w:szCs w:val="18"/>
              </w:rPr>
              <w:t>CD46 Correa (D)</w:t>
            </w:r>
          </w:p>
        </w:tc>
        <w:tc>
          <w:tcPr>
            <w:tcW w:w="976" w:type="dxa"/>
            <w:tcBorders>
              <w:top w:val="nil"/>
              <w:left w:val="nil"/>
              <w:bottom w:val="nil"/>
              <w:right w:val="nil"/>
            </w:tcBorders>
            <w:shd w:val="clear" w:color="auto" w:fill="auto"/>
            <w:noWrap/>
            <w:vAlign w:val="bottom"/>
            <w:hideMark/>
          </w:tcPr>
          <w:p w14:paraId="5083CB31" w14:textId="23CA936B" w:rsidR="00FE183F" w:rsidRPr="00B74998" w:rsidRDefault="00FE183F" w:rsidP="00FE183F">
            <w:pPr>
              <w:widowControl/>
              <w:autoSpaceDE/>
              <w:autoSpaceDN/>
              <w:jc w:val="right"/>
              <w:rPr>
                <w:rFonts w:eastAsia="Times New Roman"/>
                <w:color w:val="000000"/>
                <w:sz w:val="18"/>
                <w:szCs w:val="18"/>
              </w:rPr>
            </w:pPr>
            <w:r>
              <w:rPr>
                <w:color w:val="000000"/>
                <w:sz w:val="18"/>
                <w:szCs w:val="18"/>
              </w:rPr>
              <w:t>6.4</w:t>
            </w:r>
          </w:p>
        </w:tc>
        <w:tc>
          <w:tcPr>
            <w:tcW w:w="2096" w:type="dxa"/>
            <w:tcBorders>
              <w:top w:val="nil"/>
              <w:left w:val="nil"/>
              <w:bottom w:val="nil"/>
              <w:right w:val="nil"/>
            </w:tcBorders>
            <w:shd w:val="clear" w:color="auto" w:fill="auto"/>
            <w:noWrap/>
            <w:vAlign w:val="bottom"/>
            <w:hideMark/>
          </w:tcPr>
          <w:p w14:paraId="6B16E82C" w14:textId="0F48D086" w:rsidR="00FE183F" w:rsidRPr="00B74998" w:rsidRDefault="00FE183F" w:rsidP="00FE183F">
            <w:pPr>
              <w:widowControl/>
              <w:autoSpaceDE/>
              <w:autoSpaceDN/>
              <w:rPr>
                <w:rFonts w:eastAsia="Times New Roman"/>
                <w:color w:val="000000"/>
                <w:sz w:val="18"/>
                <w:szCs w:val="18"/>
              </w:rPr>
            </w:pPr>
            <w:r>
              <w:rPr>
                <w:color w:val="000000"/>
                <w:sz w:val="18"/>
                <w:szCs w:val="18"/>
              </w:rPr>
              <w:t>SD24 Allen (D)</w:t>
            </w:r>
          </w:p>
        </w:tc>
        <w:tc>
          <w:tcPr>
            <w:tcW w:w="976" w:type="dxa"/>
            <w:tcBorders>
              <w:top w:val="nil"/>
              <w:left w:val="nil"/>
              <w:bottom w:val="nil"/>
              <w:right w:val="nil"/>
            </w:tcBorders>
            <w:shd w:val="clear" w:color="auto" w:fill="auto"/>
            <w:noWrap/>
            <w:vAlign w:val="bottom"/>
            <w:hideMark/>
          </w:tcPr>
          <w:p w14:paraId="68D5C3DD" w14:textId="45278B0C" w:rsidR="00FE183F" w:rsidRPr="00B74998" w:rsidRDefault="00FE183F" w:rsidP="00FE183F">
            <w:pPr>
              <w:widowControl/>
              <w:autoSpaceDE/>
              <w:autoSpaceDN/>
              <w:jc w:val="right"/>
              <w:rPr>
                <w:rFonts w:eastAsia="Times New Roman"/>
                <w:color w:val="000000"/>
                <w:sz w:val="18"/>
                <w:szCs w:val="18"/>
              </w:rPr>
            </w:pPr>
            <w:r>
              <w:rPr>
                <w:color w:val="000000"/>
                <w:sz w:val="18"/>
                <w:szCs w:val="18"/>
              </w:rPr>
              <w:t>5.3</w:t>
            </w:r>
          </w:p>
        </w:tc>
        <w:tc>
          <w:tcPr>
            <w:tcW w:w="2096" w:type="dxa"/>
            <w:tcBorders>
              <w:top w:val="nil"/>
              <w:left w:val="nil"/>
              <w:bottom w:val="nil"/>
              <w:right w:val="nil"/>
            </w:tcBorders>
            <w:shd w:val="clear" w:color="auto" w:fill="auto"/>
            <w:noWrap/>
            <w:vAlign w:val="bottom"/>
            <w:hideMark/>
          </w:tcPr>
          <w:p w14:paraId="6BC7D411" w14:textId="50BB4FEB" w:rsidR="00FE183F" w:rsidRPr="00B74998" w:rsidRDefault="00FE183F" w:rsidP="00FE183F">
            <w:pPr>
              <w:widowControl/>
              <w:autoSpaceDE/>
              <w:autoSpaceDN/>
              <w:rPr>
                <w:rFonts w:eastAsia="Times New Roman"/>
                <w:color w:val="000000"/>
                <w:sz w:val="18"/>
                <w:szCs w:val="18"/>
              </w:rPr>
            </w:pPr>
            <w:r>
              <w:rPr>
                <w:color w:val="000000"/>
                <w:sz w:val="18"/>
                <w:szCs w:val="18"/>
              </w:rPr>
              <w:t>AD65 Gipson (D)</w:t>
            </w:r>
          </w:p>
        </w:tc>
        <w:tc>
          <w:tcPr>
            <w:tcW w:w="976" w:type="dxa"/>
            <w:tcBorders>
              <w:top w:val="nil"/>
              <w:left w:val="nil"/>
              <w:bottom w:val="nil"/>
              <w:right w:val="nil"/>
            </w:tcBorders>
            <w:shd w:val="clear" w:color="auto" w:fill="auto"/>
            <w:noWrap/>
            <w:vAlign w:val="bottom"/>
            <w:hideMark/>
          </w:tcPr>
          <w:p w14:paraId="6C1F87C2" w14:textId="3F353218" w:rsidR="00FE183F" w:rsidRPr="00B74998" w:rsidRDefault="00FE183F" w:rsidP="00FE183F">
            <w:pPr>
              <w:widowControl/>
              <w:autoSpaceDE/>
              <w:autoSpaceDN/>
              <w:jc w:val="right"/>
              <w:rPr>
                <w:rFonts w:eastAsia="Times New Roman"/>
                <w:color w:val="000000"/>
                <w:sz w:val="18"/>
                <w:szCs w:val="18"/>
              </w:rPr>
            </w:pPr>
            <w:r>
              <w:rPr>
                <w:color w:val="000000"/>
                <w:sz w:val="18"/>
                <w:szCs w:val="18"/>
              </w:rPr>
              <w:t>6.9</w:t>
            </w:r>
          </w:p>
        </w:tc>
      </w:tr>
      <w:tr w:rsidR="00FE183F" w:rsidRPr="00B74998" w14:paraId="7C84FE07" w14:textId="77777777" w:rsidTr="00F02E8D">
        <w:trPr>
          <w:trHeight w:val="300"/>
        </w:trPr>
        <w:tc>
          <w:tcPr>
            <w:tcW w:w="976" w:type="dxa"/>
            <w:tcBorders>
              <w:top w:val="nil"/>
              <w:left w:val="nil"/>
              <w:bottom w:val="nil"/>
              <w:right w:val="nil"/>
            </w:tcBorders>
            <w:shd w:val="clear" w:color="auto" w:fill="auto"/>
            <w:noWrap/>
            <w:vAlign w:val="bottom"/>
            <w:hideMark/>
          </w:tcPr>
          <w:p w14:paraId="1BF1F4AF" w14:textId="77777777" w:rsidR="00FE183F" w:rsidRPr="00B74998" w:rsidRDefault="00FE183F" w:rsidP="00FE183F">
            <w:pPr>
              <w:widowControl/>
              <w:autoSpaceDE/>
              <w:autoSpaceDN/>
              <w:jc w:val="right"/>
              <w:rPr>
                <w:rFonts w:eastAsia="Times New Roman"/>
                <w:color w:val="000000"/>
                <w:sz w:val="18"/>
                <w:szCs w:val="18"/>
              </w:rPr>
            </w:pPr>
          </w:p>
        </w:tc>
        <w:tc>
          <w:tcPr>
            <w:tcW w:w="2096" w:type="dxa"/>
            <w:tcBorders>
              <w:top w:val="nil"/>
              <w:left w:val="nil"/>
              <w:bottom w:val="nil"/>
              <w:right w:val="nil"/>
            </w:tcBorders>
            <w:shd w:val="clear" w:color="auto" w:fill="auto"/>
            <w:noWrap/>
            <w:vAlign w:val="bottom"/>
            <w:hideMark/>
          </w:tcPr>
          <w:p w14:paraId="2C44AE0C" w14:textId="1656E462" w:rsidR="00FE183F" w:rsidRPr="00B74998" w:rsidRDefault="00FE183F" w:rsidP="00FE183F">
            <w:pPr>
              <w:widowControl/>
              <w:autoSpaceDE/>
              <w:autoSpaceDN/>
              <w:rPr>
                <w:rFonts w:eastAsia="Times New Roman"/>
                <w:color w:val="000000"/>
                <w:sz w:val="18"/>
                <w:szCs w:val="18"/>
              </w:rPr>
            </w:pPr>
            <w:r>
              <w:rPr>
                <w:color w:val="000000"/>
                <w:sz w:val="18"/>
                <w:szCs w:val="18"/>
              </w:rPr>
              <w:t>CD14 Swalwell (D)</w:t>
            </w:r>
          </w:p>
        </w:tc>
        <w:tc>
          <w:tcPr>
            <w:tcW w:w="976" w:type="dxa"/>
            <w:tcBorders>
              <w:top w:val="nil"/>
              <w:left w:val="nil"/>
              <w:bottom w:val="nil"/>
              <w:right w:val="nil"/>
            </w:tcBorders>
            <w:shd w:val="clear" w:color="auto" w:fill="auto"/>
            <w:noWrap/>
            <w:vAlign w:val="bottom"/>
            <w:hideMark/>
          </w:tcPr>
          <w:p w14:paraId="61D5DF58" w14:textId="511F4D7D" w:rsidR="00FE183F" w:rsidRPr="00B74998" w:rsidRDefault="00FE183F" w:rsidP="00FE183F">
            <w:pPr>
              <w:widowControl/>
              <w:autoSpaceDE/>
              <w:autoSpaceDN/>
              <w:jc w:val="right"/>
              <w:rPr>
                <w:rFonts w:eastAsia="Times New Roman"/>
                <w:color w:val="000000"/>
                <w:sz w:val="18"/>
                <w:szCs w:val="18"/>
              </w:rPr>
            </w:pPr>
            <w:r>
              <w:rPr>
                <w:color w:val="000000"/>
                <w:sz w:val="18"/>
                <w:szCs w:val="18"/>
              </w:rPr>
              <w:t>6.6</w:t>
            </w:r>
          </w:p>
        </w:tc>
        <w:tc>
          <w:tcPr>
            <w:tcW w:w="2096" w:type="dxa"/>
            <w:tcBorders>
              <w:top w:val="nil"/>
              <w:left w:val="nil"/>
              <w:bottom w:val="nil"/>
              <w:right w:val="nil"/>
            </w:tcBorders>
            <w:shd w:val="clear" w:color="auto" w:fill="auto"/>
            <w:noWrap/>
            <w:vAlign w:val="bottom"/>
            <w:hideMark/>
          </w:tcPr>
          <w:p w14:paraId="64E61CC4" w14:textId="67B22C8E" w:rsidR="00FE183F" w:rsidRPr="00B74998" w:rsidRDefault="00FE183F" w:rsidP="00FE183F">
            <w:pPr>
              <w:widowControl/>
              <w:autoSpaceDE/>
              <w:autoSpaceDN/>
              <w:rPr>
                <w:rFonts w:eastAsia="Times New Roman"/>
                <w:color w:val="000000"/>
                <w:sz w:val="18"/>
                <w:szCs w:val="18"/>
              </w:rPr>
            </w:pPr>
            <w:r>
              <w:rPr>
                <w:color w:val="000000"/>
                <w:sz w:val="18"/>
                <w:szCs w:val="18"/>
              </w:rPr>
              <w:t>SD04 Alvarado-Gil (D)</w:t>
            </w:r>
          </w:p>
        </w:tc>
        <w:tc>
          <w:tcPr>
            <w:tcW w:w="976" w:type="dxa"/>
            <w:tcBorders>
              <w:top w:val="nil"/>
              <w:left w:val="nil"/>
              <w:bottom w:val="nil"/>
              <w:right w:val="nil"/>
            </w:tcBorders>
            <w:shd w:val="clear" w:color="auto" w:fill="auto"/>
            <w:noWrap/>
            <w:vAlign w:val="bottom"/>
            <w:hideMark/>
          </w:tcPr>
          <w:p w14:paraId="6AEA7753" w14:textId="55027FA4" w:rsidR="00FE183F" w:rsidRPr="00B74998" w:rsidRDefault="00FE183F" w:rsidP="00FE183F">
            <w:pPr>
              <w:widowControl/>
              <w:autoSpaceDE/>
              <w:autoSpaceDN/>
              <w:jc w:val="right"/>
              <w:rPr>
                <w:rFonts w:eastAsia="Times New Roman"/>
                <w:color w:val="000000"/>
                <w:sz w:val="18"/>
                <w:szCs w:val="18"/>
              </w:rPr>
            </w:pPr>
            <w:r>
              <w:rPr>
                <w:color w:val="000000"/>
                <w:sz w:val="18"/>
                <w:szCs w:val="18"/>
              </w:rPr>
              <w:t>5.7</w:t>
            </w:r>
          </w:p>
        </w:tc>
        <w:tc>
          <w:tcPr>
            <w:tcW w:w="2096" w:type="dxa"/>
            <w:tcBorders>
              <w:top w:val="nil"/>
              <w:left w:val="nil"/>
              <w:bottom w:val="nil"/>
              <w:right w:val="nil"/>
            </w:tcBorders>
            <w:shd w:val="clear" w:color="auto" w:fill="auto"/>
            <w:noWrap/>
            <w:vAlign w:val="bottom"/>
            <w:hideMark/>
          </w:tcPr>
          <w:p w14:paraId="3FF0891D" w14:textId="610BC2F8" w:rsidR="00FE183F" w:rsidRPr="00B74998" w:rsidRDefault="00FE183F" w:rsidP="00FE183F">
            <w:pPr>
              <w:widowControl/>
              <w:autoSpaceDE/>
              <w:autoSpaceDN/>
              <w:rPr>
                <w:rFonts w:eastAsia="Times New Roman"/>
                <w:color w:val="000000"/>
                <w:sz w:val="18"/>
                <w:szCs w:val="18"/>
              </w:rPr>
            </w:pPr>
            <w:r>
              <w:rPr>
                <w:color w:val="000000"/>
                <w:sz w:val="18"/>
                <w:szCs w:val="18"/>
              </w:rPr>
              <w:t>AD22 Alanis (R)</w:t>
            </w:r>
          </w:p>
        </w:tc>
        <w:tc>
          <w:tcPr>
            <w:tcW w:w="976" w:type="dxa"/>
            <w:tcBorders>
              <w:top w:val="nil"/>
              <w:left w:val="nil"/>
              <w:bottom w:val="nil"/>
              <w:right w:val="nil"/>
            </w:tcBorders>
            <w:shd w:val="clear" w:color="auto" w:fill="auto"/>
            <w:noWrap/>
            <w:vAlign w:val="bottom"/>
            <w:hideMark/>
          </w:tcPr>
          <w:p w14:paraId="09C8EEFC" w14:textId="07EF83BE" w:rsidR="00FE183F" w:rsidRPr="00B74998" w:rsidRDefault="00FE183F" w:rsidP="00FE183F">
            <w:pPr>
              <w:widowControl/>
              <w:autoSpaceDE/>
              <w:autoSpaceDN/>
              <w:jc w:val="right"/>
              <w:rPr>
                <w:rFonts w:eastAsia="Times New Roman"/>
                <w:color w:val="000000"/>
                <w:sz w:val="18"/>
                <w:szCs w:val="18"/>
              </w:rPr>
            </w:pPr>
            <w:r>
              <w:rPr>
                <w:color w:val="000000"/>
                <w:sz w:val="18"/>
                <w:szCs w:val="18"/>
              </w:rPr>
              <w:t>6.9</w:t>
            </w:r>
          </w:p>
        </w:tc>
      </w:tr>
      <w:tr w:rsidR="00FE183F" w:rsidRPr="00B74998" w14:paraId="1C2B6976" w14:textId="77777777" w:rsidTr="00F02E8D">
        <w:trPr>
          <w:trHeight w:val="300"/>
        </w:trPr>
        <w:tc>
          <w:tcPr>
            <w:tcW w:w="976" w:type="dxa"/>
            <w:tcBorders>
              <w:top w:val="nil"/>
              <w:left w:val="nil"/>
              <w:bottom w:val="nil"/>
              <w:right w:val="nil"/>
            </w:tcBorders>
            <w:shd w:val="clear" w:color="auto" w:fill="auto"/>
            <w:noWrap/>
            <w:vAlign w:val="bottom"/>
            <w:hideMark/>
          </w:tcPr>
          <w:p w14:paraId="1512537F" w14:textId="77777777" w:rsidR="00FE183F" w:rsidRPr="00B74998" w:rsidRDefault="00FE183F" w:rsidP="00FE183F">
            <w:pPr>
              <w:widowControl/>
              <w:autoSpaceDE/>
              <w:autoSpaceDN/>
              <w:jc w:val="right"/>
              <w:rPr>
                <w:rFonts w:eastAsia="Times New Roman"/>
                <w:color w:val="000000"/>
                <w:sz w:val="18"/>
                <w:szCs w:val="18"/>
              </w:rPr>
            </w:pPr>
          </w:p>
        </w:tc>
        <w:tc>
          <w:tcPr>
            <w:tcW w:w="2096" w:type="dxa"/>
            <w:tcBorders>
              <w:top w:val="nil"/>
              <w:left w:val="nil"/>
              <w:bottom w:val="nil"/>
              <w:right w:val="nil"/>
            </w:tcBorders>
            <w:shd w:val="clear" w:color="auto" w:fill="auto"/>
            <w:noWrap/>
            <w:vAlign w:val="bottom"/>
            <w:hideMark/>
          </w:tcPr>
          <w:p w14:paraId="7B19F9D6" w14:textId="5EC1356F" w:rsidR="00FE183F" w:rsidRPr="00B74998" w:rsidRDefault="00FE183F" w:rsidP="00FE183F">
            <w:pPr>
              <w:widowControl/>
              <w:autoSpaceDE/>
              <w:autoSpaceDN/>
              <w:rPr>
                <w:rFonts w:eastAsia="Times New Roman"/>
                <w:color w:val="000000"/>
                <w:sz w:val="18"/>
                <w:szCs w:val="18"/>
              </w:rPr>
            </w:pPr>
            <w:r>
              <w:rPr>
                <w:color w:val="000000"/>
                <w:sz w:val="18"/>
                <w:szCs w:val="18"/>
              </w:rPr>
              <w:t>CD48 Issa (R)</w:t>
            </w:r>
          </w:p>
        </w:tc>
        <w:tc>
          <w:tcPr>
            <w:tcW w:w="976" w:type="dxa"/>
            <w:tcBorders>
              <w:top w:val="nil"/>
              <w:left w:val="nil"/>
              <w:bottom w:val="nil"/>
              <w:right w:val="nil"/>
            </w:tcBorders>
            <w:shd w:val="clear" w:color="auto" w:fill="auto"/>
            <w:noWrap/>
            <w:vAlign w:val="bottom"/>
            <w:hideMark/>
          </w:tcPr>
          <w:p w14:paraId="2E928A9E" w14:textId="6ABCBDA7" w:rsidR="00FE183F" w:rsidRPr="00B74998" w:rsidRDefault="00FE183F" w:rsidP="00FE183F">
            <w:pPr>
              <w:widowControl/>
              <w:autoSpaceDE/>
              <w:autoSpaceDN/>
              <w:jc w:val="right"/>
              <w:rPr>
                <w:rFonts w:eastAsia="Times New Roman"/>
                <w:color w:val="000000"/>
                <w:sz w:val="18"/>
                <w:szCs w:val="18"/>
              </w:rPr>
            </w:pPr>
            <w:r>
              <w:rPr>
                <w:color w:val="000000"/>
                <w:sz w:val="18"/>
                <w:szCs w:val="18"/>
              </w:rPr>
              <w:t>6.6</w:t>
            </w:r>
          </w:p>
        </w:tc>
        <w:tc>
          <w:tcPr>
            <w:tcW w:w="2096" w:type="dxa"/>
            <w:tcBorders>
              <w:top w:val="nil"/>
              <w:left w:val="nil"/>
              <w:bottom w:val="nil"/>
              <w:right w:val="nil"/>
            </w:tcBorders>
            <w:shd w:val="clear" w:color="auto" w:fill="auto"/>
            <w:noWrap/>
            <w:vAlign w:val="bottom"/>
            <w:hideMark/>
          </w:tcPr>
          <w:p w14:paraId="46DC9D40" w14:textId="4082CA66" w:rsidR="00FE183F" w:rsidRPr="00B74998" w:rsidRDefault="00FE183F" w:rsidP="00FE183F">
            <w:pPr>
              <w:widowControl/>
              <w:autoSpaceDE/>
              <w:autoSpaceDN/>
              <w:rPr>
                <w:rFonts w:eastAsia="Times New Roman"/>
                <w:color w:val="000000"/>
                <w:sz w:val="18"/>
                <w:szCs w:val="18"/>
              </w:rPr>
            </w:pPr>
            <w:r>
              <w:rPr>
                <w:color w:val="000000"/>
                <w:sz w:val="18"/>
                <w:szCs w:val="18"/>
              </w:rPr>
              <w:t>SD20 Menjivar (D)</w:t>
            </w:r>
          </w:p>
        </w:tc>
        <w:tc>
          <w:tcPr>
            <w:tcW w:w="976" w:type="dxa"/>
            <w:tcBorders>
              <w:top w:val="nil"/>
              <w:left w:val="nil"/>
              <w:bottom w:val="nil"/>
              <w:right w:val="nil"/>
            </w:tcBorders>
            <w:shd w:val="clear" w:color="auto" w:fill="auto"/>
            <w:noWrap/>
            <w:vAlign w:val="bottom"/>
            <w:hideMark/>
          </w:tcPr>
          <w:p w14:paraId="18896F87" w14:textId="0BE1A6E7" w:rsidR="00FE183F" w:rsidRPr="00B74998" w:rsidRDefault="00FE183F" w:rsidP="00FE183F">
            <w:pPr>
              <w:widowControl/>
              <w:autoSpaceDE/>
              <w:autoSpaceDN/>
              <w:jc w:val="right"/>
              <w:rPr>
                <w:rFonts w:eastAsia="Times New Roman"/>
                <w:color w:val="000000"/>
                <w:sz w:val="18"/>
                <w:szCs w:val="18"/>
              </w:rPr>
            </w:pPr>
            <w:r>
              <w:rPr>
                <w:color w:val="000000"/>
                <w:sz w:val="18"/>
                <w:szCs w:val="18"/>
              </w:rPr>
              <w:t>6.0</w:t>
            </w:r>
          </w:p>
        </w:tc>
        <w:tc>
          <w:tcPr>
            <w:tcW w:w="2096" w:type="dxa"/>
            <w:tcBorders>
              <w:top w:val="nil"/>
              <w:left w:val="nil"/>
              <w:bottom w:val="nil"/>
              <w:right w:val="nil"/>
            </w:tcBorders>
            <w:shd w:val="clear" w:color="auto" w:fill="auto"/>
            <w:noWrap/>
            <w:vAlign w:val="bottom"/>
            <w:hideMark/>
          </w:tcPr>
          <w:p w14:paraId="6B884843" w14:textId="48D7A2AC" w:rsidR="00FE183F" w:rsidRPr="00B74998" w:rsidRDefault="00FE183F" w:rsidP="00FE183F">
            <w:pPr>
              <w:widowControl/>
              <w:autoSpaceDE/>
              <w:autoSpaceDN/>
              <w:rPr>
                <w:rFonts w:eastAsia="Times New Roman"/>
                <w:color w:val="000000"/>
                <w:sz w:val="18"/>
                <w:szCs w:val="18"/>
              </w:rPr>
            </w:pPr>
            <w:r>
              <w:rPr>
                <w:color w:val="000000"/>
                <w:sz w:val="18"/>
                <w:szCs w:val="18"/>
              </w:rPr>
              <w:t>AD39 Carrillo (D)</w:t>
            </w:r>
          </w:p>
        </w:tc>
        <w:tc>
          <w:tcPr>
            <w:tcW w:w="976" w:type="dxa"/>
            <w:tcBorders>
              <w:top w:val="nil"/>
              <w:left w:val="nil"/>
              <w:bottom w:val="nil"/>
              <w:right w:val="nil"/>
            </w:tcBorders>
            <w:shd w:val="clear" w:color="auto" w:fill="auto"/>
            <w:noWrap/>
            <w:vAlign w:val="bottom"/>
            <w:hideMark/>
          </w:tcPr>
          <w:p w14:paraId="66491159" w14:textId="74AA20C1" w:rsidR="00FE183F" w:rsidRPr="00B74998" w:rsidRDefault="00FE183F" w:rsidP="00FE183F">
            <w:pPr>
              <w:widowControl/>
              <w:autoSpaceDE/>
              <w:autoSpaceDN/>
              <w:jc w:val="right"/>
              <w:rPr>
                <w:rFonts w:eastAsia="Times New Roman"/>
                <w:color w:val="000000"/>
                <w:sz w:val="18"/>
                <w:szCs w:val="18"/>
              </w:rPr>
            </w:pPr>
            <w:r>
              <w:rPr>
                <w:color w:val="000000"/>
                <w:sz w:val="18"/>
                <w:szCs w:val="18"/>
              </w:rPr>
              <w:t>7.0</w:t>
            </w:r>
          </w:p>
        </w:tc>
      </w:tr>
      <w:tr w:rsidR="00FE183F" w:rsidRPr="00B74998" w14:paraId="0FBCB3F1" w14:textId="77777777" w:rsidTr="00F02E8D">
        <w:trPr>
          <w:trHeight w:val="300"/>
        </w:trPr>
        <w:tc>
          <w:tcPr>
            <w:tcW w:w="976" w:type="dxa"/>
            <w:tcBorders>
              <w:top w:val="nil"/>
              <w:left w:val="nil"/>
              <w:bottom w:val="nil"/>
              <w:right w:val="nil"/>
            </w:tcBorders>
            <w:shd w:val="clear" w:color="auto" w:fill="auto"/>
            <w:noWrap/>
            <w:vAlign w:val="bottom"/>
            <w:hideMark/>
          </w:tcPr>
          <w:p w14:paraId="48799D72" w14:textId="77777777" w:rsidR="00FE183F" w:rsidRPr="00B74998" w:rsidRDefault="00FE183F" w:rsidP="00FE183F">
            <w:pPr>
              <w:widowControl/>
              <w:autoSpaceDE/>
              <w:autoSpaceDN/>
              <w:jc w:val="right"/>
              <w:rPr>
                <w:rFonts w:eastAsia="Times New Roman"/>
                <w:color w:val="000000"/>
                <w:sz w:val="18"/>
                <w:szCs w:val="18"/>
              </w:rPr>
            </w:pPr>
          </w:p>
        </w:tc>
        <w:tc>
          <w:tcPr>
            <w:tcW w:w="2096" w:type="dxa"/>
            <w:tcBorders>
              <w:top w:val="nil"/>
              <w:left w:val="nil"/>
              <w:bottom w:val="nil"/>
              <w:right w:val="nil"/>
            </w:tcBorders>
            <w:shd w:val="clear" w:color="auto" w:fill="auto"/>
            <w:noWrap/>
            <w:vAlign w:val="bottom"/>
            <w:hideMark/>
          </w:tcPr>
          <w:p w14:paraId="7C9A067C" w14:textId="44022305" w:rsidR="00FE183F" w:rsidRPr="00B74998" w:rsidRDefault="00FE183F" w:rsidP="00FE183F">
            <w:pPr>
              <w:widowControl/>
              <w:autoSpaceDE/>
              <w:autoSpaceDN/>
              <w:rPr>
                <w:rFonts w:eastAsia="Times New Roman"/>
                <w:color w:val="000000"/>
                <w:sz w:val="18"/>
                <w:szCs w:val="18"/>
              </w:rPr>
            </w:pPr>
            <w:r>
              <w:rPr>
                <w:color w:val="000000"/>
                <w:sz w:val="18"/>
                <w:szCs w:val="18"/>
              </w:rPr>
              <w:t>CD51 Jacobs (D)</w:t>
            </w:r>
          </w:p>
        </w:tc>
        <w:tc>
          <w:tcPr>
            <w:tcW w:w="976" w:type="dxa"/>
            <w:tcBorders>
              <w:top w:val="nil"/>
              <w:left w:val="nil"/>
              <w:bottom w:val="nil"/>
              <w:right w:val="nil"/>
            </w:tcBorders>
            <w:shd w:val="clear" w:color="auto" w:fill="auto"/>
            <w:noWrap/>
            <w:vAlign w:val="bottom"/>
            <w:hideMark/>
          </w:tcPr>
          <w:p w14:paraId="3BF7CEB7" w14:textId="0A486F18" w:rsidR="00FE183F" w:rsidRPr="00B74998" w:rsidRDefault="00FE183F" w:rsidP="00FE183F">
            <w:pPr>
              <w:widowControl/>
              <w:autoSpaceDE/>
              <w:autoSpaceDN/>
              <w:jc w:val="right"/>
              <w:rPr>
                <w:rFonts w:eastAsia="Times New Roman"/>
                <w:color w:val="000000"/>
                <w:sz w:val="18"/>
                <w:szCs w:val="18"/>
              </w:rPr>
            </w:pPr>
            <w:r>
              <w:rPr>
                <w:color w:val="000000"/>
                <w:sz w:val="18"/>
                <w:szCs w:val="18"/>
              </w:rPr>
              <w:t>6.8</w:t>
            </w:r>
          </w:p>
        </w:tc>
        <w:tc>
          <w:tcPr>
            <w:tcW w:w="2096" w:type="dxa"/>
            <w:tcBorders>
              <w:top w:val="nil"/>
              <w:left w:val="nil"/>
              <w:bottom w:val="nil"/>
              <w:right w:val="nil"/>
            </w:tcBorders>
            <w:shd w:val="clear" w:color="auto" w:fill="auto"/>
            <w:noWrap/>
            <w:vAlign w:val="bottom"/>
            <w:hideMark/>
          </w:tcPr>
          <w:p w14:paraId="2CC20C23" w14:textId="3AE31E46" w:rsidR="00FE183F" w:rsidRPr="00B74998" w:rsidRDefault="00FE183F" w:rsidP="00FE183F">
            <w:pPr>
              <w:widowControl/>
              <w:autoSpaceDE/>
              <w:autoSpaceDN/>
              <w:rPr>
                <w:rFonts w:eastAsia="Times New Roman"/>
                <w:color w:val="000000"/>
                <w:sz w:val="18"/>
                <w:szCs w:val="18"/>
              </w:rPr>
            </w:pPr>
            <w:r>
              <w:rPr>
                <w:color w:val="000000"/>
                <w:sz w:val="18"/>
                <w:szCs w:val="18"/>
              </w:rPr>
              <w:t>SD12 Grove (R)</w:t>
            </w:r>
          </w:p>
        </w:tc>
        <w:tc>
          <w:tcPr>
            <w:tcW w:w="976" w:type="dxa"/>
            <w:tcBorders>
              <w:top w:val="nil"/>
              <w:left w:val="nil"/>
              <w:bottom w:val="nil"/>
              <w:right w:val="nil"/>
            </w:tcBorders>
            <w:shd w:val="clear" w:color="auto" w:fill="auto"/>
            <w:noWrap/>
            <w:vAlign w:val="bottom"/>
            <w:hideMark/>
          </w:tcPr>
          <w:p w14:paraId="2B586366" w14:textId="346D37D1" w:rsidR="00FE183F" w:rsidRPr="00B74998" w:rsidRDefault="00FE183F" w:rsidP="00FE183F">
            <w:pPr>
              <w:widowControl/>
              <w:autoSpaceDE/>
              <w:autoSpaceDN/>
              <w:jc w:val="right"/>
              <w:rPr>
                <w:rFonts w:eastAsia="Times New Roman"/>
                <w:color w:val="000000"/>
                <w:sz w:val="18"/>
                <w:szCs w:val="18"/>
              </w:rPr>
            </w:pPr>
            <w:r>
              <w:rPr>
                <w:color w:val="000000"/>
                <w:sz w:val="18"/>
                <w:szCs w:val="18"/>
              </w:rPr>
              <w:t>6.1</w:t>
            </w:r>
          </w:p>
        </w:tc>
        <w:tc>
          <w:tcPr>
            <w:tcW w:w="2096" w:type="dxa"/>
            <w:tcBorders>
              <w:top w:val="nil"/>
              <w:left w:val="nil"/>
              <w:bottom w:val="nil"/>
              <w:right w:val="nil"/>
            </w:tcBorders>
            <w:shd w:val="clear" w:color="auto" w:fill="auto"/>
            <w:noWrap/>
            <w:vAlign w:val="bottom"/>
            <w:hideMark/>
          </w:tcPr>
          <w:p w14:paraId="78E9FADF" w14:textId="5D299C6B" w:rsidR="00FE183F" w:rsidRPr="00B74998" w:rsidRDefault="00FE183F" w:rsidP="00FE183F">
            <w:pPr>
              <w:widowControl/>
              <w:autoSpaceDE/>
              <w:autoSpaceDN/>
              <w:rPr>
                <w:rFonts w:eastAsia="Times New Roman"/>
                <w:color w:val="000000"/>
                <w:sz w:val="18"/>
                <w:szCs w:val="18"/>
              </w:rPr>
            </w:pPr>
            <w:r>
              <w:rPr>
                <w:color w:val="000000"/>
                <w:sz w:val="18"/>
                <w:szCs w:val="18"/>
              </w:rPr>
              <w:t>AD57 Jones-Sawyer (D)</w:t>
            </w:r>
          </w:p>
        </w:tc>
        <w:tc>
          <w:tcPr>
            <w:tcW w:w="976" w:type="dxa"/>
            <w:tcBorders>
              <w:top w:val="nil"/>
              <w:left w:val="nil"/>
              <w:bottom w:val="nil"/>
              <w:right w:val="nil"/>
            </w:tcBorders>
            <w:shd w:val="clear" w:color="auto" w:fill="auto"/>
            <w:noWrap/>
            <w:vAlign w:val="bottom"/>
            <w:hideMark/>
          </w:tcPr>
          <w:p w14:paraId="434A2D67" w14:textId="7FBC1147" w:rsidR="00FE183F" w:rsidRPr="00B74998" w:rsidRDefault="00FE183F" w:rsidP="00FE183F">
            <w:pPr>
              <w:widowControl/>
              <w:autoSpaceDE/>
              <w:autoSpaceDN/>
              <w:jc w:val="right"/>
              <w:rPr>
                <w:rFonts w:eastAsia="Times New Roman"/>
                <w:color w:val="000000"/>
                <w:sz w:val="18"/>
                <w:szCs w:val="18"/>
              </w:rPr>
            </w:pPr>
            <w:r>
              <w:rPr>
                <w:color w:val="000000"/>
                <w:sz w:val="18"/>
                <w:szCs w:val="18"/>
              </w:rPr>
              <w:t>8.2</w:t>
            </w:r>
          </w:p>
        </w:tc>
      </w:tr>
      <w:tr w:rsidR="00FE183F" w:rsidRPr="00B74998" w14:paraId="592A5838" w14:textId="77777777" w:rsidTr="00F02E8D">
        <w:trPr>
          <w:trHeight w:val="300"/>
        </w:trPr>
        <w:tc>
          <w:tcPr>
            <w:tcW w:w="976" w:type="dxa"/>
            <w:tcBorders>
              <w:top w:val="nil"/>
              <w:left w:val="nil"/>
              <w:bottom w:val="nil"/>
              <w:right w:val="nil"/>
            </w:tcBorders>
            <w:shd w:val="clear" w:color="auto" w:fill="auto"/>
            <w:noWrap/>
            <w:vAlign w:val="bottom"/>
            <w:hideMark/>
          </w:tcPr>
          <w:p w14:paraId="554FF120" w14:textId="77777777" w:rsidR="00FE183F" w:rsidRPr="00B74998" w:rsidRDefault="00FE183F" w:rsidP="00FE183F">
            <w:pPr>
              <w:widowControl/>
              <w:autoSpaceDE/>
              <w:autoSpaceDN/>
              <w:jc w:val="right"/>
              <w:rPr>
                <w:rFonts w:eastAsia="Times New Roman"/>
                <w:color w:val="000000"/>
                <w:sz w:val="18"/>
                <w:szCs w:val="18"/>
              </w:rPr>
            </w:pPr>
          </w:p>
        </w:tc>
        <w:tc>
          <w:tcPr>
            <w:tcW w:w="2096" w:type="dxa"/>
            <w:tcBorders>
              <w:top w:val="nil"/>
              <w:left w:val="nil"/>
              <w:bottom w:val="nil"/>
              <w:right w:val="nil"/>
            </w:tcBorders>
            <w:shd w:val="clear" w:color="auto" w:fill="auto"/>
            <w:noWrap/>
            <w:vAlign w:val="bottom"/>
            <w:hideMark/>
          </w:tcPr>
          <w:p w14:paraId="76E24AE3" w14:textId="468DBFD4" w:rsidR="00FE183F" w:rsidRPr="00B74998" w:rsidRDefault="00FE183F" w:rsidP="00FE183F">
            <w:pPr>
              <w:widowControl/>
              <w:autoSpaceDE/>
              <w:autoSpaceDN/>
              <w:rPr>
                <w:rFonts w:eastAsia="Times New Roman"/>
                <w:color w:val="000000"/>
                <w:sz w:val="18"/>
                <w:szCs w:val="18"/>
              </w:rPr>
            </w:pPr>
            <w:r>
              <w:rPr>
                <w:color w:val="000000"/>
                <w:sz w:val="18"/>
                <w:szCs w:val="18"/>
              </w:rPr>
              <w:t>CD45 Steel (R)</w:t>
            </w:r>
          </w:p>
        </w:tc>
        <w:tc>
          <w:tcPr>
            <w:tcW w:w="976" w:type="dxa"/>
            <w:tcBorders>
              <w:top w:val="nil"/>
              <w:left w:val="nil"/>
              <w:bottom w:val="nil"/>
              <w:right w:val="nil"/>
            </w:tcBorders>
            <w:shd w:val="clear" w:color="auto" w:fill="auto"/>
            <w:noWrap/>
            <w:vAlign w:val="bottom"/>
            <w:hideMark/>
          </w:tcPr>
          <w:p w14:paraId="625FE6BE" w14:textId="28E260AD" w:rsidR="00FE183F" w:rsidRPr="00B74998" w:rsidRDefault="00FE183F" w:rsidP="00FE183F">
            <w:pPr>
              <w:widowControl/>
              <w:autoSpaceDE/>
              <w:autoSpaceDN/>
              <w:jc w:val="right"/>
              <w:rPr>
                <w:rFonts w:eastAsia="Times New Roman"/>
                <w:color w:val="000000"/>
                <w:sz w:val="18"/>
                <w:szCs w:val="18"/>
              </w:rPr>
            </w:pPr>
            <w:r>
              <w:rPr>
                <w:color w:val="000000"/>
                <w:sz w:val="18"/>
                <w:szCs w:val="18"/>
              </w:rPr>
              <w:t>7.0</w:t>
            </w:r>
          </w:p>
        </w:tc>
        <w:tc>
          <w:tcPr>
            <w:tcW w:w="2096" w:type="dxa"/>
            <w:tcBorders>
              <w:top w:val="nil"/>
              <w:left w:val="nil"/>
              <w:bottom w:val="nil"/>
              <w:right w:val="nil"/>
            </w:tcBorders>
            <w:shd w:val="clear" w:color="auto" w:fill="auto"/>
            <w:noWrap/>
            <w:vAlign w:val="bottom"/>
            <w:hideMark/>
          </w:tcPr>
          <w:p w14:paraId="1423DFAB" w14:textId="12F6CE5B" w:rsidR="00FE183F" w:rsidRPr="00B74998" w:rsidRDefault="00FE183F" w:rsidP="00FE183F">
            <w:pPr>
              <w:widowControl/>
              <w:autoSpaceDE/>
              <w:autoSpaceDN/>
              <w:rPr>
                <w:rFonts w:eastAsia="Times New Roman"/>
                <w:color w:val="000000"/>
                <w:sz w:val="18"/>
                <w:szCs w:val="18"/>
              </w:rPr>
            </w:pPr>
            <w:r>
              <w:rPr>
                <w:color w:val="000000"/>
                <w:sz w:val="18"/>
                <w:szCs w:val="18"/>
              </w:rPr>
              <w:t>SD26 Durazo (D)</w:t>
            </w:r>
          </w:p>
        </w:tc>
        <w:tc>
          <w:tcPr>
            <w:tcW w:w="976" w:type="dxa"/>
            <w:tcBorders>
              <w:top w:val="nil"/>
              <w:left w:val="nil"/>
              <w:bottom w:val="nil"/>
              <w:right w:val="nil"/>
            </w:tcBorders>
            <w:shd w:val="clear" w:color="auto" w:fill="auto"/>
            <w:noWrap/>
            <w:vAlign w:val="bottom"/>
            <w:hideMark/>
          </w:tcPr>
          <w:p w14:paraId="3F485207" w14:textId="29AD45ED" w:rsidR="00FE183F" w:rsidRPr="00B74998" w:rsidRDefault="00FE183F" w:rsidP="00FE183F">
            <w:pPr>
              <w:widowControl/>
              <w:autoSpaceDE/>
              <w:autoSpaceDN/>
              <w:jc w:val="right"/>
              <w:rPr>
                <w:rFonts w:eastAsia="Times New Roman"/>
                <w:color w:val="000000"/>
                <w:sz w:val="18"/>
                <w:szCs w:val="18"/>
              </w:rPr>
            </w:pPr>
            <w:r>
              <w:rPr>
                <w:color w:val="000000"/>
                <w:sz w:val="18"/>
                <w:szCs w:val="18"/>
              </w:rPr>
              <w:t>6.3</w:t>
            </w:r>
          </w:p>
        </w:tc>
        <w:tc>
          <w:tcPr>
            <w:tcW w:w="2096" w:type="dxa"/>
            <w:tcBorders>
              <w:top w:val="nil"/>
              <w:left w:val="nil"/>
              <w:bottom w:val="nil"/>
              <w:right w:val="nil"/>
            </w:tcBorders>
            <w:shd w:val="clear" w:color="auto" w:fill="auto"/>
            <w:noWrap/>
            <w:vAlign w:val="bottom"/>
            <w:hideMark/>
          </w:tcPr>
          <w:p w14:paraId="547FA524" w14:textId="445CBA9C" w:rsidR="00FE183F" w:rsidRPr="00B74998" w:rsidRDefault="00FE183F" w:rsidP="00FE183F">
            <w:pPr>
              <w:widowControl/>
              <w:autoSpaceDE/>
              <w:autoSpaceDN/>
              <w:rPr>
                <w:rFonts w:eastAsia="Times New Roman"/>
                <w:color w:val="000000"/>
                <w:sz w:val="18"/>
                <w:szCs w:val="18"/>
              </w:rPr>
            </w:pPr>
            <w:r>
              <w:rPr>
                <w:color w:val="000000"/>
                <w:sz w:val="18"/>
                <w:szCs w:val="18"/>
              </w:rPr>
              <w:t>AD35 Bains (D)</w:t>
            </w:r>
          </w:p>
        </w:tc>
        <w:tc>
          <w:tcPr>
            <w:tcW w:w="976" w:type="dxa"/>
            <w:tcBorders>
              <w:top w:val="nil"/>
              <w:left w:val="nil"/>
              <w:bottom w:val="nil"/>
              <w:right w:val="nil"/>
            </w:tcBorders>
            <w:shd w:val="clear" w:color="auto" w:fill="auto"/>
            <w:noWrap/>
            <w:vAlign w:val="bottom"/>
            <w:hideMark/>
          </w:tcPr>
          <w:p w14:paraId="3FEF44AC" w14:textId="3DD2289C" w:rsidR="00FE183F" w:rsidRPr="00B74998" w:rsidRDefault="00FE183F" w:rsidP="00FE183F">
            <w:pPr>
              <w:widowControl/>
              <w:autoSpaceDE/>
              <w:autoSpaceDN/>
              <w:jc w:val="right"/>
              <w:rPr>
                <w:rFonts w:eastAsia="Times New Roman"/>
                <w:color w:val="000000"/>
                <w:sz w:val="18"/>
                <w:szCs w:val="18"/>
              </w:rPr>
            </w:pPr>
            <w:r>
              <w:rPr>
                <w:color w:val="000000"/>
                <w:sz w:val="18"/>
                <w:szCs w:val="18"/>
              </w:rPr>
              <w:t>8.6</w:t>
            </w:r>
          </w:p>
        </w:tc>
      </w:tr>
      <w:tr w:rsidR="00FE183F" w:rsidRPr="00B74998" w14:paraId="0989821D" w14:textId="77777777" w:rsidTr="00F02E8D">
        <w:trPr>
          <w:trHeight w:val="300"/>
        </w:trPr>
        <w:tc>
          <w:tcPr>
            <w:tcW w:w="976" w:type="dxa"/>
            <w:tcBorders>
              <w:top w:val="nil"/>
              <w:left w:val="nil"/>
              <w:bottom w:val="nil"/>
              <w:right w:val="nil"/>
            </w:tcBorders>
            <w:shd w:val="clear" w:color="auto" w:fill="auto"/>
            <w:noWrap/>
            <w:vAlign w:val="bottom"/>
            <w:hideMark/>
          </w:tcPr>
          <w:p w14:paraId="48873F19" w14:textId="77777777" w:rsidR="00FE183F" w:rsidRPr="00B74998" w:rsidRDefault="00FE183F" w:rsidP="00FE183F">
            <w:pPr>
              <w:widowControl/>
              <w:autoSpaceDE/>
              <w:autoSpaceDN/>
              <w:jc w:val="right"/>
              <w:rPr>
                <w:rFonts w:eastAsia="Times New Roman"/>
                <w:color w:val="000000"/>
                <w:sz w:val="18"/>
                <w:szCs w:val="18"/>
              </w:rPr>
            </w:pPr>
          </w:p>
        </w:tc>
        <w:tc>
          <w:tcPr>
            <w:tcW w:w="2096" w:type="dxa"/>
            <w:tcBorders>
              <w:top w:val="nil"/>
              <w:left w:val="nil"/>
              <w:bottom w:val="nil"/>
              <w:right w:val="nil"/>
            </w:tcBorders>
            <w:shd w:val="clear" w:color="auto" w:fill="auto"/>
            <w:noWrap/>
            <w:vAlign w:val="bottom"/>
            <w:hideMark/>
          </w:tcPr>
          <w:p w14:paraId="078C8B5C" w14:textId="61AE2A6A" w:rsidR="00FE183F" w:rsidRPr="00B74998" w:rsidRDefault="00FE183F" w:rsidP="00FE183F">
            <w:pPr>
              <w:widowControl/>
              <w:autoSpaceDE/>
              <w:autoSpaceDN/>
              <w:rPr>
                <w:rFonts w:eastAsia="Times New Roman"/>
                <w:color w:val="000000"/>
                <w:sz w:val="18"/>
                <w:szCs w:val="18"/>
              </w:rPr>
            </w:pPr>
            <w:r>
              <w:rPr>
                <w:color w:val="000000"/>
                <w:sz w:val="18"/>
                <w:szCs w:val="18"/>
              </w:rPr>
              <w:t>CD38 Sánchez (D)</w:t>
            </w:r>
          </w:p>
        </w:tc>
        <w:tc>
          <w:tcPr>
            <w:tcW w:w="976" w:type="dxa"/>
            <w:tcBorders>
              <w:top w:val="nil"/>
              <w:left w:val="nil"/>
              <w:bottom w:val="nil"/>
              <w:right w:val="nil"/>
            </w:tcBorders>
            <w:shd w:val="clear" w:color="auto" w:fill="auto"/>
            <w:noWrap/>
            <w:vAlign w:val="bottom"/>
            <w:hideMark/>
          </w:tcPr>
          <w:p w14:paraId="35CB03C4" w14:textId="58CB449E" w:rsidR="00FE183F" w:rsidRPr="00B74998" w:rsidRDefault="00FE183F" w:rsidP="00FE183F">
            <w:pPr>
              <w:widowControl/>
              <w:autoSpaceDE/>
              <w:autoSpaceDN/>
              <w:jc w:val="right"/>
              <w:rPr>
                <w:rFonts w:eastAsia="Times New Roman"/>
                <w:color w:val="000000"/>
                <w:sz w:val="18"/>
                <w:szCs w:val="18"/>
              </w:rPr>
            </w:pPr>
            <w:r>
              <w:rPr>
                <w:color w:val="000000"/>
                <w:sz w:val="18"/>
                <w:szCs w:val="18"/>
              </w:rPr>
              <w:t>8.5</w:t>
            </w:r>
          </w:p>
        </w:tc>
        <w:tc>
          <w:tcPr>
            <w:tcW w:w="2096" w:type="dxa"/>
            <w:tcBorders>
              <w:top w:val="nil"/>
              <w:left w:val="nil"/>
              <w:bottom w:val="nil"/>
              <w:right w:val="nil"/>
            </w:tcBorders>
            <w:shd w:val="clear" w:color="auto" w:fill="auto"/>
            <w:noWrap/>
            <w:vAlign w:val="bottom"/>
            <w:hideMark/>
          </w:tcPr>
          <w:p w14:paraId="485C4AA6" w14:textId="6BBDBBF6" w:rsidR="00FE183F" w:rsidRPr="00B74998" w:rsidRDefault="00FE183F" w:rsidP="00FE183F">
            <w:pPr>
              <w:widowControl/>
              <w:autoSpaceDE/>
              <w:autoSpaceDN/>
              <w:rPr>
                <w:rFonts w:eastAsia="Times New Roman"/>
                <w:color w:val="000000"/>
                <w:sz w:val="18"/>
                <w:szCs w:val="18"/>
              </w:rPr>
            </w:pPr>
            <w:r>
              <w:rPr>
                <w:color w:val="000000"/>
                <w:sz w:val="18"/>
                <w:szCs w:val="18"/>
              </w:rPr>
              <w:t>SD28 Smallwood-Cuevas (D)</w:t>
            </w:r>
          </w:p>
        </w:tc>
        <w:tc>
          <w:tcPr>
            <w:tcW w:w="976" w:type="dxa"/>
            <w:tcBorders>
              <w:top w:val="nil"/>
              <w:left w:val="nil"/>
              <w:bottom w:val="nil"/>
              <w:right w:val="nil"/>
            </w:tcBorders>
            <w:shd w:val="clear" w:color="auto" w:fill="auto"/>
            <w:noWrap/>
            <w:vAlign w:val="bottom"/>
            <w:hideMark/>
          </w:tcPr>
          <w:p w14:paraId="17A890FB" w14:textId="13540BF2" w:rsidR="00FE183F" w:rsidRPr="00B74998" w:rsidRDefault="00FE183F" w:rsidP="00FE183F">
            <w:pPr>
              <w:widowControl/>
              <w:autoSpaceDE/>
              <w:autoSpaceDN/>
              <w:jc w:val="right"/>
              <w:rPr>
                <w:rFonts w:eastAsia="Times New Roman"/>
                <w:color w:val="000000"/>
                <w:sz w:val="18"/>
                <w:szCs w:val="18"/>
              </w:rPr>
            </w:pPr>
            <w:r>
              <w:rPr>
                <w:color w:val="000000"/>
                <w:sz w:val="18"/>
                <w:szCs w:val="18"/>
              </w:rPr>
              <w:t>6.6</w:t>
            </w:r>
          </w:p>
        </w:tc>
        <w:tc>
          <w:tcPr>
            <w:tcW w:w="2096" w:type="dxa"/>
            <w:tcBorders>
              <w:top w:val="nil"/>
              <w:left w:val="nil"/>
              <w:bottom w:val="nil"/>
              <w:right w:val="nil"/>
            </w:tcBorders>
            <w:shd w:val="clear" w:color="auto" w:fill="auto"/>
            <w:noWrap/>
            <w:vAlign w:val="bottom"/>
            <w:hideMark/>
          </w:tcPr>
          <w:p w14:paraId="38CEBC62" w14:textId="2D8E98CE" w:rsidR="00FE183F" w:rsidRPr="00B74998" w:rsidRDefault="00FE183F" w:rsidP="00FE183F">
            <w:pPr>
              <w:widowControl/>
              <w:autoSpaceDE/>
              <w:autoSpaceDN/>
              <w:rPr>
                <w:rFonts w:eastAsia="Times New Roman"/>
                <w:color w:val="000000"/>
                <w:sz w:val="18"/>
                <w:szCs w:val="18"/>
              </w:rPr>
            </w:pPr>
            <w:r>
              <w:rPr>
                <w:color w:val="000000"/>
                <w:sz w:val="18"/>
                <w:szCs w:val="18"/>
              </w:rPr>
              <w:t>AD27 Soria (D)</w:t>
            </w:r>
          </w:p>
        </w:tc>
        <w:tc>
          <w:tcPr>
            <w:tcW w:w="976" w:type="dxa"/>
            <w:tcBorders>
              <w:top w:val="nil"/>
              <w:left w:val="nil"/>
              <w:bottom w:val="nil"/>
              <w:right w:val="nil"/>
            </w:tcBorders>
            <w:shd w:val="clear" w:color="auto" w:fill="auto"/>
            <w:noWrap/>
            <w:vAlign w:val="bottom"/>
            <w:hideMark/>
          </w:tcPr>
          <w:p w14:paraId="6E1DD537" w14:textId="685B277A" w:rsidR="00FE183F" w:rsidRPr="00B74998" w:rsidRDefault="00FE183F" w:rsidP="00FE183F">
            <w:pPr>
              <w:widowControl/>
              <w:autoSpaceDE/>
              <w:autoSpaceDN/>
              <w:jc w:val="right"/>
              <w:rPr>
                <w:rFonts w:eastAsia="Times New Roman"/>
                <w:color w:val="000000"/>
                <w:sz w:val="18"/>
                <w:szCs w:val="18"/>
              </w:rPr>
            </w:pPr>
            <w:r>
              <w:rPr>
                <w:color w:val="000000"/>
                <w:sz w:val="18"/>
                <w:szCs w:val="18"/>
              </w:rPr>
              <w:t>8.7</w:t>
            </w:r>
          </w:p>
        </w:tc>
      </w:tr>
      <w:tr w:rsidR="00FE183F" w:rsidRPr="00B74998" w14:paraId="09EF4989" w14:textId="77777777" w:rsidTr="00F02E8D">
        <w:trPr>
          <w:trHeight w:val="300"/>
        </w:trPr>
        <w:tc>
          <w:tcPr>
            <w:tcW w:w="976" w:type="dxa"/>
            <w:tcBorders>
              <w:top w:val="nil"/>
              <w:left w:val="nil"/>
              <w:bottom w:val="nil"/>
              <w:right w:val="nil"/>
            </w:tcBorders>
            <w:shd w:val="clear" w:color="auto" w:fill="auto"/>
            <w:noWrap/>
            <w:vAlign w:val="bottom"/>
            <w:hideMark/>
          </w:tcPr>
          <w:p w14:paraId="7B5151FF" w14:textId="77777777" w:rsidR="00FE183F" w:rsidRPr="00B74998" w:rsidRDefault="00FE183F" w:rsidP="00FE183F">
            <w:pPr>
              <w:widowControl/>
              <w:autoSpaceDE/>
              <w:autoSpaceDN/>
              <w:jc w:val="right"/>
              <w:rPr>
                <w:rFonts w:eastAsia="Times New Roman"/>
                <w:color w:val="000000"/>
                <w:sz w:val="18"/>
                <w:szCs w:val="18"/>
              </w:rPr>
            </w:pPr>
          </w:p>
        </w:tc>
        <w:tc>
          <w:tcPr>
            <w:tcW w:w="2096" w:type="dxa"/>
            <w:tcBorders>
              <w:top w:val="nil"/>
              <w:left w:val="nil"/>
              <w:bottom w:val="nil"/>
              <w:right w:val="nil"/>
            </w:tcBorders>
            <w:shd w:val="clear" w:color="auto" w:fill="auto"/>
            <w:noWrap/>
            <w:vAlign w:val="bottom"/>
            <w:hideMark/>
          </w:tcPr>
          <w:p w14:paraId="79C39E11" w14:textId="6CEF9FD8" w:rsidR="00FE183F" w:rsidRPr="00B74998" w:rsidRDefault="00FE183F" w:rsidP="00FE183F">
            <w:pPr>
              <w:widowControl/>
              <w:autoSpaceDE/>
              <w:autoSpaceDN/>
              <w:rPr>
                <w:rFonts w:eastAsia="Times New Roman"/>
                <w:color w:val="000000"/>
                <w:sz w:val="18"/>
                <w:szCs w:val="18"/>
              </w:rPr>
            </w:pPr>
            <w:r>
              <w:rPr>
                <w:color w:val="000000"/>
                <w:sz w:val="18"/>
                <w:szCs w:val="18"/>
              </w:rPr>
              <w:t>CD35 Torres (D)</w:t>
            </w:r>
          </w:p>
        </w:tc>
        <w:tc>
          <w:tcPr>
            <w:tcW w:w="976" w:type="dxa"/>
            <w:tcBorders>
              <w:top w:val="nil"/>
              <w:left w:val="nil"/>
              <w:bottom w:val="nil"/>
              <w:right w:val="nil"/>
            </w:tcBorders>
            <w:shd w:val="clear" w:color="auto" w:fill="auto"/>
            <w:noWrap/>
            <w:vAlign w:val="bottom"/>
            <w:hideMark/>
          </w:tcPr>
          <w:p w14:paraId="6093EAE2" w14:textId="445F605F" w:rsidR="00FE183F" w:rsidRPr="00B74998" w:rsidRDefault="00FE183F" w:rsidP="00FE183F">
            <w:pPr>
              <w:widowControl/>
              <w:autoSpaceDE/>
              <w:autoSpaceDN/>
              <w:jc w:val="right"/>
              <w:rPr>
                <w:rFonts w:eastAsia="Times New Roman"/>
                <w:color w:val="000000"/>
                <w:sz w:val="18"/>
                <w:szCs w:val="18"/>
              </w:rPr>
            </w:pPr>
            <w:r>
              <w:rPr>
                <w:color w:val="000000"/>
                <w:sz w:val="18"/>
                <w:szCs w:val="18"/>
              </w:rPr>
              <w:t>9.1</w:t>
            </w:r>
          </w:p>
        </w:tc>
        <w:tc>
          <w:tcPr>
            <w:tcW w:w="2096" w:type="dxa"/>
            <w:tcBorders>
              <w:top w:val="nil"/>
              <w:left w:val="nil"/>
              <w:bottom w:val="nil"/>
              <w:right w:val="nil"/>
            </w:tcBorders>
            <w:shd w:val="clear" w:color="auto" w:fill="auto"/>
            <w:noWrap/>
            <w:vAlign w:val="bottom"/>
            <w:hideMark/>
          </w:tcPr>
          <w:p w14:paraId="25A6D1EB" w14:textId="32ACC439" w:rsidR="00FE183F" w:rsidRPr="00B74998" w:rsidRDefault="00FE183F" w:rsidP="00FE183F">
            <w:pPr>
              <w:widowControl/>
              <w:autoSpaceDE/>
              <w:autoSpaceDN/>
              <w:rPr>
                <w:rFonts w:eastAsia="Times New Roman"/>
                <w:color w:val="000000"/>
                <w:sz w:val="18"/>
                <w:szCs w:val="18"/>
              </w:rPr>
            </w:pPr>
            <w:r>
              <w:rPr>
                <w:color w:val="000000"/>
                <w:sz w:val="18"/>
                <w:szCs w:val="18"/>
              </w:rPr>
              <w:t>SD18 Padilla (D)</w:t>
            </w:r>
          </w:p>
        </w:tc>
        <w:tc>
          <w:tcPr>
            <w:tcW w:w="976" w:type="dxa"/>
            <w:tcBorders>
              <w:top w:val="nil"/>
              <w:left w:val="nil"/>
              <w:bottom w:val="nil"/>
              <w:right w:val="nil"/>
            </w:tcBorders>
            <w:shd w:val="clear" w:color="auto" w:fill="auto"/>
            <w:noWrap/>
            <w:vAlign w:val="bottom"/>
            <w:hideMark/>
          </w:tcPr>
          <w:p w14:paraId="0BCFFAD8" w14:textId="2C9E1822" w:rsidR="00FE183F" w:rsidRPr="00B74998" w:rsidRDefault="00FE183F" w:rsidP="00FE183F">
            <w:pPr>
              <w:widowControl/>
              <w:autoSpaceDE/>
              <w:autoSpaceDN/>
              <w:jc w:val="right"/>
              <w:rPr>
                <w:rFonts w:eastAsia="Times New Roman"/>
                <w:color w:val="000000"/>
                <w:sz w:val="18"/>
                <w:szCs w:val="18"/>
              </w:rPr>
            </w:pPr>
            <w:r>
              <w:rPr>
                <w:color w:val="000000"/>
                <w:sz w:val="18"/>
                <w:szCs w:val="18"/>
              </w:rPr>
              <w:t>8.6</w:t>
            </w:r>
          </w:p>
        </w:tc>
        <w:tc>
          <w:tcPr>
            <w:tcW w:w="2096" w:type="dxa"/>
            <w:tcBorders>
              <w:top w:val="nil"/>
              <w:left w:val="nil"/>
              <w:bottom w:val="nil"/>
              <w:right w:val="nil"/>
            </w:tcBorders>
            <w:shd w:val="clear" w:color="auto" w:fill="auto"/>
            <w:noWrap/>
            <w:vAlign w:val="bottom"/>
            <w:hideMark/>
          </w:tcPr>
          <w:p w14:paraId="44D6D51C" w14:textId="4180956E" w:rsidR="00FE183F" w:rsidRPr="00B74998" w:rsidRDefault="00FE183F" w:rsidP="00FE183F">
            <w:pPr>
              <w:widowControl/>
              <w:autoSpaceDE/>
              <w:autoSpaceDN/>
              <w:rPr>
                <w:rFonts w:eastAsia="Times New Roman"/>
                <w:color w:val="000000"/>
                <w:sz w:val="18"/>
                <w:szCs w:val="18"/>
              </w:rPr>
            </w:pPr>
            <w:r>
              <w:rPr>
                <w:color w:val="000000"/>
                <w:sz w:val="18"/>
                <w:szCs w:val="18"/>
              </w:rPr>
              <w:t>AD31 Arambula (D)</w:t>
            </w:r>
          </w:p>
        </w:tc>
        <w:tc>
          <w:tcPr>
            <w:tcW w:w="976" w:type="dxa"/>
            <w:tcBorders>
              <w:top w:val="nil"/>
              <w:left w:val="nil"/>
              <w:bottom w:val="nil"/>
              <w:right w:val="nil"/>
            </w:tcBorders>
            <w:shd w:val="clear" w:color="auto" w:fill="auto"/>
            <w:noWrap/>
            <w:vAlign w:val="bottom"/>
            <w:hideMark/>
          </w:tcPr>
          <w:p w14:paraId="00BA6632" w14:textId="57E5B6F1" w:rsidR="00FE183F" w:rsidRPr="00B74998" w:rsidRDefault="00FE183F" w:rsidP="00FE183F">
            <w:pPr>
              <w:widowControl/>
              <w:autoSpaceDE/>
              <w:autoSpaceDN/>
              <w:jc w:val="right"/>
              <w:rPr>
                <w:rFonts w:eastAsia="Times New Roman"/>
                <w:color w:val="000000"/>
                <w:sz w:val="18"/>
                <w:szCs w:val="18"/>
              </w:rPr>
            </w:pPr>
            <w:r>
              <w:rPr>
                <w:color w:val="000000"/>
                <w:sz w:val="18"/>
                <w:szCs w:val="18"/>
              </w:rPr>
              <w:t>9.3</w:t>
            </w:r>
          </w:p>
        </w:tc>
      </w:tr>
      <w:tr w:rsidR="00FE183F" w:rsidRPr="00B74998" w14:paraId="0845E0FD" w14:textId="77777777" w:rsidTr="00F02E8D">
        <w:trPr>
          <w:trHeight w:val="300"/>
        </w:trPr>
        <w:tc>
          <w:tcPr>
            <w:tcW w:w="976" w:type="dxa"/>
            <w:tcBorders>
              <w:top w:val="nil"/>
              <w:left w:val="nil"/>
              <w:bottom w:val="nil"/>
              <w:right w:val="nil"/>
            </w:tcBorders>
            <w:shd w:val="clear" w:color="auto" w:fill="auto"/>
            <w:noWrap/>
            <w:vAlign w:val="bottom"/>
            <w:hideMark/>
          </w:tcPr>
          <w:p w14:paraId="3BE4B72E" w14:textId="77777777" w:rsidR="00FE183F" w:rsidRPr="00B74998" w:rsidRDefault="00FE183F" w:rsidP="00FE183F">
            <w:pPr>
              <w:widowControl/>
              <w:autoSpaceDE/>
              <w:autoSpaceDN/>
              <w:jc w:val="right"/>
              <w:rPr>
                <w:rFonts w:eastAsia="Times New Roman"/>
                <w:color w:val="000000"/>
                <w:sz w:val="18"/>
                <w:szCs w:val="18"/>
              </w:rPr>
            </w:pPr>
          </w:p>
        </w:tc>
        <w:tc>
          <w:tcPr>
            <w:tcW w:w="2096" w:type="dxa"/>
            <w:tcBorders>
              <w:top w:val="nil"/>
              <w:left w:val="nil"/>
              <w:bottom w:val="nil"/>
              <w:right w:val="nil"/>
            </w:tcBorders>
            <w:shd w:val="clear" w:color="auto" w:fill="auto"/>
            <w:noWrap/>
            <w:vAlign w:val="bottom"/>
            <w:hideMark/>
          </w:tcPr>
          <w:p w14:paraId="50543DB5" w14:textId="29544072" w:rsidR="00FE183F" w:rsidRPr="00B74998" w:rsidRDefault="00FE183F" w:rsidP="00FE183F">
            <w:pPr>
              <w:widowControl/>
              <w:autoSpaceDE/>
              <w:autoSpaceDN/>
              <w:rPr>
                <w:rFonts w:eastAsia="Times New Roman"/>
                <w:color w:val="000000"/>
                <w:sz w:val="18"/>
                <w:szCs w:val="18"/>
              </w:rPr>
            </w:pPr>
            <w:r>
              <w:rPr>
                <w:color w:val="000000"/>
                <w:sz w:val="18"/>
                <w:szCs w:val="18"/>
              </w:rPr>
              <w:t>CD28 Chu (D)</w:t>
            </w:r>
          </w:p>
        </w:tc>
        <w:tc>
          <w:tcPr>
            <w:tcW w:w="976" w:type="dxa"/>
            <w:tcBorders>
              <w:top w:val="nil"/>
              <w:left w:val="nil"/>
              <w:bottom w:val="nil"/>
              <w:right w:val="nil"/>
            </w:tcBorders>
            <w:shd w:val="clear" w:color="auto" w:fill="auto"/>
            <w:noWrap/>
            <w:vAlign w:val="bottom"/>
            <w:hideMark/>
          </w:tcPr>
          <w:p w14:paraId="4AD030C1" w14:textId="48E88F8D" w:rsidR="00FE183F" w:rsidRPr="00B74998" w:rsidRDefault="00FE183F" w:rsidP="00FE183F">
            <w:pPr>
              <w:widowControl/>
              <w:autoSpaceDE/>
              <w:autoSpaceDN/>
              <w:jc w:val="right"/>
              <w:rPr>
                <w:rFonts w:eastAsia="Times New Roman"/>
                <w:color w:val="000000"/>
                <w:sz w:val="18"/>
                <w:szCs w:val="18"/>
              </w:rPr>
            </w:pPr>
            <w:r>
              <w:rPr>
                <w:color w:val="000000"/>
                <w:sz w:val="18"/>
                <w:szCs w:val="18"/>
              </w:rPr>
              <w:t>9.3</w:t>
            </w:r>
          </w:p>
        </w:tc>
        <w:tc>
          <w:tcPr>
            <w:tcW w:w="2096" w:type="dxa"/>
            <w:tcBorders>
              <w:top w:val="nil"/>
              <w:left w:val="nil"/>
              <w:bottom w:val="nil"/>
              <w:right w:val="nil"/>
            </w:tcBorders>
            <w:shd w:val="clear" w:color="auto" w:fill="auto"/>
            <w:noWrap/>
            <w:vAlign w:val="bottom"/>
            <w:hideMark/>
          </w:tcPr>
          <w:p w14:paraId="2FEB3A73" w14:textId="207348E7" w:rsidR="00FE183F" w:rsidRPr="00B74998" w:rsidRDefault="00FE183F" w:rsidP="00FE183F">
            <w:pPr>
              <w:widowControl/>
              <w:autoSpaceDE/>
              <w:autoSpaceDN/>
              <w:rPr>
                <w:rFonts w:eastAsia="Times New Roman"/>
                <w:color w:val="000000"/>
                <w:sz w:val="18"/>
                <w:szCs w:val="18"/>
              </w:rPr>
            </w:pPr>
            <w:r>
              <w:rPr>
                <w:color w:val="000000"/>
                <w:sz w:val="18"/>
                <w:szCs w:val="18"/>
              </w:rPr>
              <w:t>SD14 Caballero (D)</w:t>
            </w:r>
          </w:p>
        </w:tc>
        <w:tc>
          <w:tcPr>
            <w:tcW w:w="976" w:type="dxa"/>
            <w:tcBorders>
              <w:top w:val="nil"/>
              <w:left w:val="nil"/>
              <w:bottom w:val="nil"/>
              <w:right w:val="nil"/>
            </w:tcBorders>
            <w:shd w:val="clear" w:color="auto" w:fill="auto"/>
            <w:noWrap/>
            <w:vAlign w:val="bottom"/>
            <w:hideMark/>
          </w:tcPr>
          <w:p w14:paraId="6E2E1B8D" w14:textId="545EF6ED" w:rsidR="00FE183F" w:rsidRPr="00B74998" w:rsidRDefault="00FE183F" w:rsidP="00FE183F">
            <w:pPr>
              <w:widowControl/>
              <w:autoSpaceDE/>
              <w:autoSpaceDN/>
              <w:jc w:val="right"/>
              <w:rPr>
                <w:rFonts w:eastAsia="Times New Roman"/>
                <w:color w:val="000000"/>
                <w:sz w:val="18"/>
                <w:szCs w:val="18"/>
              </w:rPr>
            </w:pPr>
            <w:r>
              <w:rPr>
                <w:color w:val="000000"/>
                <w:sz w:val="18"/>
                <w:szCs w:val="18"/>
              </w:rPr>
              <w:t>9.1</w:t>
            </w:r>
          </w:p>
        </w:tc>
        <w:tc>
          <w:tcPr>
            <w:tcW w:w="2096" w:type="dxa"/>
            <w:tcBorders>
              <w:top w:val="nil"/>
              <w:left w:val="nil"/>
              <w:bottom w:val="nil"/>
              <w:right w:val="nil"/>
            </w:tcBorders>
            <w:shd w:val="clear" w:color="auto" w:fill="auto"/>
            <w:noWrap/>
            <w:vAlign w:val="bottom"/>
            <w:hideMark/>
          </w:tcPr>
          <w:p w14:paraId="79E3DEE3" w14:textId="0E47C8A8" w:rsidR="00FE183F" w:rsidRPr="00B74998" w:rsidRDefault="00FE183F" w:rsidP="00FE183F">
            <w:pPr>
              <w:widowControl/>
              <w:autoSpaceDE/>
              <w:autoSpaceDN/>
              <w:rPr>
                <w:rFonts w:eastAsia="Times New Roman"/>
                <w:color w:val="000000"/>
                <w:sz w:val="18"/>
                <w:szCs w:val="18"/>
              </w:rPr>
            </w:pPr>
            <w:r>
              <w:rPr>
                <w:color w:val="000000"/>
                <w:sz w:val="18"/>
                <w:szCs w:val="18"/>
              </w:rPr>
              <w:t>AD33 Mathis (R)</w:t>
            </w:r>
          </w:p>
        </w:tc>
        <w:tc>
          <w:tcPr>
            <w:tcW w:w="976" w:type="dxa"/>
            <w:tcBorders>
              <w:top w:val="nil"/>
              <w:left w:val="nil"/>
              <w:bottom w:val="nil"/>
              <w:right w:val="nil"/>
            </w:tcBorders>
            <w:shd w:val="clear" w:color="auto" w:fill="auto"/>
            <w:noWrap/>
            <w:vAlign w:val="bottom"/>
            <w:hideMark/>
          </w:tcPr>
          <w:p w14:paraId="35EAB59C" w14:textId="07936D75" w:rsidR="00FE183F" w:rsidRPr="00B74998" w:rsidRDefault="00FE183F" w:rsidP="00FE183F">
            <w:pPr>
              <w:widowControl/>
              <w:autoSpaceDE/>
              <w:autoSpaceDN/>
              <w:jc w:val="right"/>
              <w:rPr>
                <w:rFonts w:eastAsia="Times New Roman"/>
                <w:color w:val="000000"/>
                <w:sz w:val="18"/>
                <w:szCs w:val="18"/>
              </w:rPr>
            </w:pPr>
            <w:r>
              <w:rPr>
                <w:color w:val="000000"/>
                <w:sz w:val="18"/>
                <w:szCs w:val="18"/>
              </w:rPr>
              <w:t>10.3</w:t>
            </w:r>
          </w:p>
        </w:tc>
      </w:tr>
      <w:tr w:rsidR="00FE183F" w:rsidRPr="00B74998" w14:paraId="13BFF84A" w14:textId="77777777" w:rsidTr="00F02E8D">
        <w:trPr>
          <w:trHeight w:val="300"/>
        </w:trPr>
        <w:tc>
          <w:tcPr>
            <w:tcW w:w="976" w:type="dxa"/>
            <w:tcBorders>
              <w:top w:val="nil"/>
              <w:left w:val="nil"/>
              <w:bottom w:val="nil"/>
              <w:right w:val="nil"/>
            </w:tcBorders>
            <w:shd w:val="clear" w:color="auto" w:fill="auto"/>
            <w:noWrap/>
            <w:vAlign w:val="bottom"/>
            <w:hideMark/>
          </w:tcPr>
          <w:p w14:paraId="7BD5100A" w14:textId="77777777" w:rsidR="00FE183F" w:rsidRPr="00B74998" w:rsidRDefault="00FE183F" w:rsidP="00FE183F">
            <w:pPr>
              <w:widowControl/>
              <w:autoSpaceDE/>
              <w:autoSpaceDN/>
              <w:jc w:val="right"/>
              <w:rPr>
                <w:rFonts w:eastAsia="Times New Roman"/>
                <w:color w:val="000000"/>
                <w:sz w:val="18"/>
                <w:szCs w:val="18"/>
              </w:rPr>
            </w:pPr>
          </w:p>
        </w:tc>
        <w:tc>
          <w:tcPr>
            <w:tcW w:w="2096" w:type="dxa"/>
            <w:tcBorders>
              <w:top w:val="nil"/>
              <w:left w:val="nil"/>
              <w:bottom w:val="nil"/>
              <w:right w:val="nil"/>
            </w:tcBorders>
            <w:shd w:val="clear" w:color="auto" w:fill="auto"/>
            <w:noWrap/>
            <w:vAlign w:val="bottom"/>
            <w:hideMark/>
          </w:tcPr>
          <w:p w14:paraId="37D5506F" w14:textId="1076E3DB" w:rsidR="00FE183F" w:rsidRPr="00B74998" w:rsidRDefault="00FE183F" w:rsidP="00FE183F">
            <w:pPr>
              <w:widowControl/>
              <w:autoSpaceDE/>
              <w:autoSpaceDN/>
              <w:rPr>
                <w:rFonts w:eastAsia="Times New Roman"/>
                <w:color w:val="000000"/>
                <w:sz w:val="18"/>
                <w:szCs w:val="18"/>
              </w:rPr>
            </w:pPr>
            <w:r>
              <w:rPr>
                <w:color w:val="000000"/>
                <w:sz w:val="18"/>
                <w:szCs w:val="18"/>
              </w:rPr>
              <w:t>CD19 Panetta (D)</w:t>
            </w:r>
          </w:p>
        </w:tc>
        <w:tc>
          <w:tcPr>
            <w:tcW w:w="976" w:type="dxa"/>
            <w:tcBorders>
              <w:top w:val="nil"/>
              <w:left w:val="nil"/>
              <w:bottom w:val="nil"/>
              <w:right w:val="nil"/>
            </w:tcBorders>
            <w:shd w:val="clear" w:color="auto" w:fill="auto"/>
            <w:noWrap/>
            <w:vAlign w:val="bottom"/>
            <w:hideMark/>
          </w:tcPr>
          <w:p w14:paraId="0D7B9575" w14:textId="4F4CD406" w:rsidR="00FE183F" w:rsidRPr="00B74998" w:rsidRDefault="00FE183F" w:rsidP="00FE183F">
            <w:pPr>
              <w:widowControl/>
              <w:autoSpaceDE/>
              <w:autoSpaceDN/>
              <w:jc w:val="right"/>
              <w:rPr>
                <w:rFonts w:eastAsia="Times New Roman"/>
                <w:color w:val="000000"/>
                <w:sz w:val="18"/>
                <w:szCs w:val="18"/>
              </w:rPr>
            </w:pPr>
            <w:r>
              <w:rPr>
                <w:color w:val="000000"/>
                <w:sz w:val="18"/>
                <w:szCs w:val="18"/>
              </w:rPr>
              <w:t>9.6</w:t>
            </w:r>
          </w:p>
        </w:tc>
        <w:tc>
          <w:tcPr>
            <w:tcW w:w="2096" w:type="dxa"/>
            <w:tcBorders>
              <w:top w:val="nil"/>
              <w:left w:val="nil"/>
              <w:bottom w:val="nil"/>
              <w:right w:val="nil"/>
            </w:tcBorders>
            <w:shd w:val="clear" w:color="auto" w:fill="auto"/>
            <w:noWrap/>
            <w:vAlign w:val="bottom"/>
            <w:hideMark/>
          </w:tcPr>
          <w:p w14:paraId="592168E4" w14:textId="214BC686" w:rsidR="00FE183F" w:rsidRPr="00B74998" w:rsidRDefault="00FE183F" w:rsidP="00FE183F">
            <w:pPr>
              <w:widowControl/>
              <w:autoSpaceDE/>
              <w:autoSpaceDN/>
              <w:rPr>
                <w:rFonts w:eastAsia="Times New Roman"/>
                <w:color w:val="000000"/>
                <w:sz w:val="18"/>
                <w:szCs w:val="18"/>
              </w:rPr>
            </w:pPr>
            <w:r>
              <w:rPr>
                <w:color w:val="000000"/>
                <w:sz w:val="18"/>
                <w:szCs w:val="18"/>
              </w:rPr>
              <w:t>SD16 Hurtado (D)</w:t>
            </w:r>
          </w:p>
        </w:tc>
        <w:tc>
          <w:tcPr>
            <w:tcW w:w="976" w:type="dxa"/>
            <w:tcBorders>
              <w:top w:val="nil"/>
              <w:left w:val="nil"/>
              <w:bottom w:val="nil"/>
              <w:right w:val="nil"/>
            </w:tcBorders>
            <w:shd w:val="clear" w:color="auto" w:fill="auto"/>
            <w:noWrap/>
            <w:vAlign w:val="bottom"/>
            <w:hideMark/>
          </w:tcPr>
          <w:p w14:paraId="71C1E64A" w14:textId="28377614" w:rsidR="00FE183F" w:rsidRPr="00B74998" w:rsidRDefault="00FE183F" w:rsidP="00FE183F">
            <w:pPr>
              <w:widowControl/>
              <w:autoSpaceDE/>
              <w:autoSpaceDN/>
              <w:jc w:val="right"/>
              <w:rPr>
                <w:rFonts w:eastAsia="Times New Roman"/>
                <w:color w:val="000000"/>
                <w:sz w:val="18"/>
                <w:szCs w:val="18"/>
              </w:rPr>
            </w:pPr>
            <w:r>
              <w:rPr>
                <w:color w:val="000000"/>
                <w:sz w:val="18"/>
                <w:szCs w:val="18"/>
              </w:rPr>
              <w:t>9.6</w:t>
            </w:r>
          </w:p>
        </w:tc>
        <w:tc>
          <w:tcPr>
            <w:tcW w:w="2096" w:type="dxa"/>
            <w:tcBorders>
              <w:top w:val="nil"/>
              <w:left w:val="nil"/>
              <w:bottom w:val="nil"/>
              <w:right w:val="nil"/>
            </w:tcBorders>
            <w:shd w:val="clear" w:color="auto" w:fill="auto"/>
            <w:noWrap/>
            <w:vAlign w:val="bottom"/>
            <w:hideMark/>
          </w:tcPr>
          <w:p w14:paraId="36ACA190" w14:textId="560F0262" w:rsidR="00FE183F" w:rsidRPr="00B74998" w:rsidRDefault="00FE183F" w:rsidP="00FE183F">
            <w:pPr>
              <w:widowControl/>
              <w:autoSpaceDE/>
              <w:autoSpaceDN/>
              <w:rPr>
                <w:rFonts w:eastAsia="Times New Roman"/>
                <w:color w:val="000000"/>
                <w:sz w:val="18"/>
                <w:szCs w:val="18"/>
              </w:rPr>
            </w:pPr>
            <w:r>
              <w:rPr>
                <w:color w:val="000000"/>
                <w:sz w:val="18"/>
                <w:szCs w:val="18"/>
              </w:rPr>
              <w:t>AD36 Garcia (D)</w:t>
            </w:r>
          </w:p>
        </w:tc>
        <w:tc>
          <w:tcPr>
            <w:tcW w:w="976" w:type="dxa"/>
            <w:tcBorders>
              <w:top w:val="nil"/>
              <w:left w:val="nil"/>
              <w:bottom w:val="nil"/>
              <w:right w:val="nil"/>
            </w:tcBorders>
            <w:shd w:val="clear" w:color="auto" w:fill="auto"/>
            <w:noWrap/>
            <w:vAlign w:val="bottom"/>
            <w:hideMark/>
          </w:tcPr>
          <w:p w14:paraId="17BEF4BF" w14:textId="2D8C252D" w:rsidR="00FE183F" w:rsidRPr="00B74998" w:rsidRDefault="00FE183F" w:rsidP="00FE183F">
            <w:pPr>
              <w:widowControl/>
              <w:autoSpaceDE/>
              <w:autoSpaceDN/>
              <w:jc w:val="right"/>
              <w:rPr>
                <w:rFonts w:eastAsia="Times New Roman"/>
                <w:color w:val="000000"/>
                <w:sz w:val="18"/>
                <w:szCs w:val="18"/>
              </w:rPr>
            </w:pPr>
            <w:r>
              <w:rPr>
                <w:color w:val="000000"/>
                <w:sz w:val="18"/>
                <w:szCs w:val="18"/>
              </w:rPr>
              <w:t>11.4</w:t>
            </w:r>
          </w:p>
        </w:tc>
      </w:tr>
    </w:tbl>
    <w:p w14:paraId="46A4EB80" w14:textId="77777777" w:rsidR="00CF42EE" w:rsidRPr="00535BD0" w:rsidRDefault="00CF42EE" w:rsidP="00CF42EE">
      <w:pPr>
        <w:pStyle w:val="BodyText"/>
        <w:rPr>
          <w:bCs/>
          <w:sz w:val="20"/>
        </w:rPr>
      </w:pPr>
    </w:p>
    <w:p w14:paraId="03E3C983" w14:textId="055C3F4B" w:rsidR="00CF42EE" w:rsidRDefault="00CF42EE" w:rsidP="00CF42EE">
      <w:pPr>
        <w:rPr>
          <w:b/>
          <w:bCs/>
        </w:rPr>
      </w:pPr>
      <w:r>
        <w:rPr>
          <w:b/>
          <w:bCs/>
        </w:rPr>
        <w:t xml:space="preserve">Unfilled Job Openings </w:t>
      </w:r>
      <w:r w:rsidR="003A674E">
        <w:rPr>
          <w:b/>
          <w:bCs/>
        </w:rPr>
        <w:t>Level Off</w:t>
      </w:r>
    </w:p>
    <w:p w14:paraId="54B66142" w14:textId="77777777" w:rsidR="00CF42EE" w:rsidRDefault="00CF42EE" w:rsidP="00CF42EE">
      <w:pPr>
        <w:rPr>
          <w:b/>
          <w:bCs/>
        </w:rPr>
      </w:pPr>
    </w:p>
    <w:p w14:paraId="73BE036E" w14:textId="6F4C2CA7" w:rsidR="00CF42EE" w:rsidRDefault="003A674E" w:rsidP="00CF42EE">
      <w:r>
        <w:t>With the September sharp drop revised upward, California unfilled job openings have essentially leveled off, showing little change over the past 5 months from the average of 62</w:t>
      </w:r>
      <w:r w:rsidR="0084301E">
        <w:t>4,000.  The October number came in at 626,000</w:t>
      </w:r>
      <w:r w:rsidR="00CF42EE">
        <w:t>.</w:t>
      </w:r>
    </w:p>
    <w:p w14:paraId="5B9686B9" w14:textId="77777777" w:rsidR="00CF42EE" w:rsidRDefault="00CF42EE" w:rsidP="00CF42EE"/>
    <w:p w14:paraId="38BB5979" w14:textId="680FAA87" w:rsidR="00CF42EE" w:rsidRDefault="0084301E" w:rsidP="00CF42EE">
      <w:r>
        <w:t>These results, however, also indicate that the state’s unmet job growth potential has also stalled.</w:t>
      </w:r>
      <w:r w:rsidR="00CF42EE">
        <w:t xml:space="preserve">  Comparing the job opening rates (job openings as a share of job openings plus total employment), California’s </w:t>
      </w:r>
      <w:r>
        <w:t>performance at 3.3% remains well below the national average of 4.6%.</w:t>
      </w:r>
    </w:p>
    <w:p w14:paraId="066450E0" w14:textId="77777777" w:rsidR="00CF42EE" w:rsidRDefault="00CF42EE" w:rsidP="00CF42EE"/>
    <w:p w14:paraId="517F53A7" w14:textId="3C904568" w:rsidR="00CF42EE" w:rsidRPr="00EF540B" w:rsidRDefault="0084301E" w:rsidP="00CF42EE">
      <w:pPr>
        <w:jc w:val="center"/>
      </w:pPr>
      <w:r>
        <w:rPr>
          <w:noProof/>
        </w:rPr>
        <w:lastRenderedPageBreak/>
        <w:drawing>
          <wp:inline distT="0" distB="0" distL="0" distR="0" wp14:anchorId="62EA333B" wp14:editId="7BC7EDB9">
            <wp:extent cx="4398836" cy="2735698"/>
            <wp:effectExtent l="0" t="0" r="1905" b="7620"/>
            <wp:docPr id="3631889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2393" cy="2737910"/>
                    </a:xfrm>
                    <a:prstGeom prst="rect">
                      <a:avLst/>
                    </a:prstGeom>
                    <a:noFill/>
                  </pic:spPr>
                </pic:pic>
              </a:graphicData>
            </a:graphic>
          </wp:inline>
        </w:drawing>
      </w:r>
    </w:p>
    <w:p w14:paraId="1CB902F0" w14:textId="77777777" w:rsidR="00CF42EE" w:rsidRDefault="00CF42EE" w:rsidP="00CF42EE">
      <w:pPr>
        <w:rPr>
          <w:b/>
          <w:bCs/>
        </w:rPr>
      </w:pPr>
    </w:p>
    <w:p w14:paraId="00B27FCB" w14:textId="0AB667FD" w:rsidR="00CF42EE" w:rsidRDefault="00CF42EE" w:rsidP="00CF42EE">
      <w:r>
        <w:t xml:space="preserve">California’s high unemployment numbers combined with </w:t>
      </w:r>
      <w:r w:rsidR="0084301E">
        <w:t>relatively low</w:t>
      </w:r>
      <w:r>
        <w:t xml:space="preserve"> job openings puts the state at 1.</w:t>
      </w:r>
      <w:r w:rsidR="0084301E">
        <w:t>7</w:t>
      </w:r>
      <w:r>
        <w:t xml:space="preserve"> unemployed for every available job opening.  The US overall remains just within labor shortage conditions with 0.9 unemployed per job opening.  </w:t>
      </w:r>
      <w:r w:rsidRPr="00D53B07">
        <w:rPr>
          <w:b/>
          <w:bCs/>
        </w:rPr>
        <w:t xml:space="preserve">California has been the worst state as measured by this metric since </w:t>
      </w:r>
      <w:r w:rsidR="0084301E">
        <w:rPr>
          <w:b/>
          <w:bCs/>
        </w:rPr>
        <w:t>September</w:t>
      </w:r>
      <w:r>
        <w:rPr>
          <w:b/>
          <w:bCs/>
        </w:rPr>
        <w:t xml:space="preserve"> 2023, and currently is well above the next two worst states (Washington and </w:t>
      </w:r>
      <w:r w:rsidR="0084301E">
        <w:rPr>
          <w:b/>
          <w:bCs/>
        </w:rPr>
        <w:t>Illinois</w:t>
      </w:r>
      <w:r>
        <w:rPr>
          <w:b/>
          <w:bCs/>
        </w:rPr>
        <w:t>) reporting only 1.3 unemployed per job opening</w:t>
      </w:r>
      <w:r w:rsidRPr="00D53B07">
        <w:rPr>
          <w:b/>
          <w:bCs/>
        </w:rPr>
        <w:t>.</w:t>
      </w:r>
      <w:r>
        <w:t xml:space="preserve">  </w:t>
      </w:r>
      <w:r w:rsidR="0084301E">
        <w:t>California’s unemployment is growing, and the state does not have a sufficient level of jobs in the pipeline to bring it down.</w:t>
      </w:r>
    </w:p>
    <w:p w14:paraId="5ADD309D" w14:textId="77777777" w:rsidR="00CF42EE" w:rsidRDefault="00CF42EE" w:rsidP="00CF42EE"/>
    <w:p w14:paraId="729ED4C5" w14:textId="279E5182" w:rsidR="00CF42EE" w:rsidRDefault="0084301E" w:rsidP="00CF42EE">
      <w:pPr>
        <w:jc w:val="center"/>
      </w:pPr>
      <w:r>
        <w:rPr>
          <w:noProof/>
        </w:rPr>
        <w:drawing>
          <wp:inline distT="0" distB="0" distL="0" distR="0" wp14:anchorId="015EFD0E" wp14:editId="5717D02F">
            <wp:extent cx="4441178" cy="2352124"/>
            <wp:effectExtent l="0" t="0" r="0" b="0"/>
            <wp:docPr id="6149915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48856" cy="2356190"/>
                    </a:xfrm>
                    <a:prstGeom prst="rect">
                      <a:avLst/>
                    </a:prstGeom>
                    <a:noFill/>
                  </pic:spPr>
                </pic:pic>
              </a:graphicData>
            </a:graphic>
          </wp:inline>
        </w:drawing>
      </w:r>
    </w:p>
    <w:p w14:paraId="525577C9" w14:textId="77777777" w:rsidR="00CF42EE" w:rsidRDefault="00CF42EE" w:rsidP="00CF42EE"/>
    <w:p w14:paraId="33E13B5A" w14:textId="77777777" w:rsidR="00CF42EE" w:rsidRDefault="00CF42EE" w:rsidP="00CF42EE">
      <w:pPr>
        <w:pStyle w:val="ListParagraph"/>
        <w:rPr>
          <w:b/>
          <w:bCs/>
        </w:rPr>
      </w:pPr>
      <w:r>
        <w:rPr>
          <w:b/>
          <w:bCs/>
        </w:rPr>
        <w:t>CaliFormer Businesses</w:t>
      </w:r>
    </w:p>
    <w:p w14:paraId="62AEC3A9" w14:textId="77777777" w:rsidR="00CF42EE" w:rsidRDefault="00CF42EE" w:rsidP="00CF42EE"/>
    <w:p w14:paraId="65950DAC" w14:textId="77777777" w:rsidR="00CF42EE" w:rsidRDefault="00CF42EE" w:rsidP="00CF42EE">
      <w:r w:rsidRPr="000C228F">
        <w:t>Additional CaliFormer companies identified since our last report are shown below.  The listed companies include those that have announced:  (1) moving their headquarters or full operations out of state, (2) moving business units out of state (generally back office operations where the employees do not have to be in a more costly California location to do their jobs), (3) California companies that expand</w:t>
      </w:r>
      <w:r>
        <w:t>ing</w:t>
      </w:r>
      <w:r w:rsidRPr="000C228F">
        <w:t xml:space="preserve"> out of state rather than locate those facilities here, and (4) companies turning to permanent telework options, leaving it to their employees to decide where to work and live.   The list is not exhaustive but is drawn from a monthly search of sources in key cities.</w:t>
      </w:r>
    </w:p>
    <w:p w14:paraId="223A732D" w14:textId="77777777" w:rsidR="00CF42EE" w:rsidRDefault="00CF42EE" w:rsidP="00CF42EE">
      <w:pPr>
        <w:pStyle w:val="ListParagraph"/>
      </w:pPr>
    </w:p>
    <w:tbl>
      <w:tblPr>
        <w:tblW w:w="5000" w:type="pct"/>
        <w:tblLayout w:type="fixed"/>
        <w:tblLook w:val="04A0" w:firstRow="1" w:lastRow="0" w:firstColumn="1" w:lastColumn="0" w:noHBand="0" w:noVBand="1"/>
      </w:tblPr>
      <w:tblGrid>
        <w:gridCol w:w="1055"/>
        <w:gridCol w:w="819"/>
        <w:gridCol w:w="590"/>
        <w:gridCol w:w="1279"/>
        <w:gridCol w:w="5343"/>
        <w:gridCol w:w="754"/>
      </w:tblGrid>
      <w:tr w:rsidR="00CF42EE" w:rsidRPr="00CE777F" w14:paraId="46EA28AF" w14:textId="77777777" w:rsidTr="00F02E8D">
        <w:trPr>
          <w:trHeight w:val="315"/>
        </w:trPr>
        <w:tc>
          <w:tcPr>
            <w:tcW w:w="536" w:type="pct"/>
            <w:tcBorders>
              <w:top w:val="nil"/>
              <w:left w:val="nil"/>
              <w:bottom w:val="single" w:sz="8" w:space="0" w:color="auto"/>
              <w:right w:val="nil"/>
            </w:tcBorders>
            <w:shd w:val="clear" w:color="000000" w:fill="FFFFFF"/>
            <w:noWrap/>
            <w:vAlign w:val="center"/>
            <w:hideMark/>
          </w:tcPr>
          <w:p w14:paraId="37614A35" w14:textId="77777777" w:rsidR="00CF42EE" w:rsidRPr="00CE777F" w:rsidRDefault="00CF42EE" w:rsidP="00F02E8D">
            <w:pPr>
              <w:rPr>
                <w:rFonts w:eastAsia="Times New Roman"/>
                <w:b/>
                <w:bCs/>
                <w:color w:val="000000"/>
                <w:sz w:val="20"/>
                <w:szCs w:val="20"/>
              </w:rPr>
            </w:pPr>
            <w:r w:rsidRPr="00CE777F">
              <w:rPr>
                <w:rFonts w:eastAsia="Times New Roman"/>
                <w:b/>
                <w:bCs/>
                <w:color w:val="000000"/>
                <w:sz w:val="20"/>
                <w:szCs w:val="20"/>
              </w:rPr>
              <w:lastRenderedPageBreak/>
              <w:t>Companies</w:t>
            </w:r>
          </w:p>
        </w:tc>
        <w:tc>
          <w:tcPr>
            <w:tcW w:w="416" w:type="pct"/>
            <w:tcBorders>
              <w:top w:val="nil"/>
              <w:left w:val="nil"/>
              <w:bottom w:val="single" w:sz="8" w:space="0" w:color="auto"/>
              <w:right w:val="nil"/>
            </w:tcBorders>
            <w:shd w:val="clear" w:color="000000" w:fill="FFFFFF"/>
            <w:noWrap/>
            <w:vAlign w:val="center"/>
            <w:hideMark/>
          </w:tcPr>
          <w:p w14:paraId="2A68AA52" w14:textId="77777777" w:rsidR="00CF42EE" w:rsidRPr="00CE777F" w:rsidRDefault="00CF42EE" w:rsidP="00F02E8D">
            <w:pPr>
              <w:rPr>
                <w:rFonts w:eastAsia="Times New Roman"/>
                <w:b/>
                <w:bCs/>
                <w:color w:val="000000"/>
                <w:sz w:val="20"/>
                <w:szCs w:val="20"/>
              </w:rPr>
            </w:pPr>
            <w:r w:rsidRPr="00CE777F">
              <w:rPr>
                <w:rFonts w:eastAsia="Times New Roman"/>
                <w:b/>
                <w:bCs/>
                <w:color w:val="000000"/>
                <w:sz w:val="20"/>
                <w:szCs w:val="20"/>
              </w:rPr>
              <w:t>From</w:t>
            </w:r>
          </w:p>
        </w:tc>
        <w:tc>
          <w:tcPr>
            <w:tcW w:w="300" w:type="pct"/>
            <w:tcBorders>
              <w:top w:val="nil"/>
              <w:left w:val="nil"/>
              <w:bottom w:val="single" w:sz="8" w:space="0" w:color="auto"/>
              <w:right w:val="nil"/>
            </w:tcBorders>
            <w:shd w:val="clear" w:color="000000" w:fill="FFFFFF"/>
            <w:noWrap/>
            <w:vAlign w:val="center"/>
            <w:hideMark/>
          </w:tcPr>
          <w:p w14:paraId="0C5AE82E" w14:textId="77777777" w:rsidR="00CF42EE" w:rsidRPr="00CE777F" w:rsidRDefault="00CF42EE" w:rsidP="00F02E8D">
            <w:pPr>
              <w:rPr>
                <w:rFonts w:eastAsia="Times New Roman"/>
                <w:b/>
                <w:bCs/>
                <w:color w:val="000000"/>
                <w:sz w:val="20"/>
                <w:szCs w:val="20"/>
              </w:rPr>
            </w:pPr>
            <w:r w:rsidRPr="00CE777F">
              <w:rPr>
                <w:rFonts w:eastAsia="Times New Roman"/>
                <w:b/>
                <w:bCs/>
                <w:color w:val="000000"/>
                <w:sz w:val="20"/>
                <w:szCs w:val="20"/>
              </w:rPr>
              <w:t>To</w:t>
            </w:r>
          </w:p>
        </w:tc>
        <w:tc>
          <w:tcPr>
            <w:tcW w:w="650" w:type="pct"/>
            <w:tcBorders>
              <w:top w:val="nil"/>
              <w:left w:val="nil"/>
              <w:bottom w:val="single" w:sz="8" w:space="0" w:color="auto"/>
              <w:right w:val="nil"/>
            </w:tcBorders>
            <w:shd w:val="clear" w:color="000000" w:fill="FFFFFF"/>
            <w:noWrap/>
            <w:vAlign w:val="center"/>
            <w:hideMark/>
          </w:tcPr>
          <w:p w14:paraId="1689DEC4" w14:textId="77777777" w:rsidR="00CF42EE" w:rsidRPr="00CE777F" w:rsidRDefault="00CF42EE" w:rsidP="00F02E8D">
            <w:pPr>
              <w:rPr>
                <w:rFonts w:eastAsia="Times New Roman"/>
                <w:b/>
                <w:bCs/>
                <w:color w:val="000000"/>
                <w:sz w:val="20"/>
                <w:szCs w:val="20"/>
              </w:rPr>
            </w:pPr>
            <w:r w:rsidRPr="00CE777F">
              <w:rPr>
                <w:rFonts w:eastAsia="Times New Roman"/>
                <w:b/>
                <w:bCs/>
                <w:color w:val="000000"/>
                <w:sz w:val="20"/>
                <w:szCs w:val="20"/>
              </w:rPr>
              <w:t>Reason</w:t>
            </w:r>
          </w:p>
        </w:tc>
        <w:tc>
          <w:tcPr>
            <w:tcW w:w="2715" w:type="pct"/>
            <w:tcBorders>
              <w:top w:val="nil"/>
              <w:left w:val="nil"/>
              <w:bottom w:val="single" w:sz="8" w:space="0" w:color="auto"/>
              <w:right w:val="nil"/>
            </w:tcBorders>
            <w:shd w:val="clear" w:color="000000" w:fill="FFFFFF"/>
            <w:noWrap/>
            <w:vAlign w:val="center"/>
            <w:hideMark/>
          </w:tcPr>
          <w:p w14:paraId="4233C591" w14:textId="77777777" w:rsidR="00CF42EE" w:rsidRPr="00CE777F" w:rsidRDefault="00CF42EE" w:rsidP="00F02E8D">
            <w:pPr>
              <w:rPr>
                <w:rFonts w:eastAsia="Times New Roman"/>
                <w:b/>
                <w:bCs/>
                <w:color w:val="000000"/>
                <w:sz w:val="20"/>
                <w:szCs w:val="20"/>
              </w:rPr>
            </w:pPr>
            <w:r w:rsidRPr="00CE777F">
              <w:rPr>
                <w:rFonts w:eastAsia="Times New Roman"/>
                <w:b/>
                <w:bCs/>
                <w:color w:val="000000"/>
                <w:sz w:val="20"/>
                <w:szCs w:val="20"/>
              </w:rPr>
              <w:t>Source</w:t>
            </w:r>
          </w:p>
        </w:tc>
        <w:tc>
          <w:tcPr>
            <w:tcW w:w="383" w:type="pct"/>
            <w:tcBorders>
              <w:top w:val="nil"/>
              <w:left w:val="nil"/>
              <w:bottom w:val="nil"/>
              <w:right w:val="nil"/>
            </w:tcBorders>
            <w:shd w:val="clear" w:color="auto" w:fill="auto"/>
            <w:noWrap/>
            <w:vAlign w:val="bottom"/>
            <w:hideMark/>
          </w:tcPr>
          <w:p w14:paraId="572F26A3" w14:textId="77777777" w:rsidR="00CF42EE" w:rsidRPr="00CE777F" w:rsidRDefault="00CF42EE" w:rsidP="00F02E8D">
            <w:pPr>
              <w:rPr>
                <w:rFonts w:eastAsia="Times New Roman"/>
                <w:b/>
                <w:bCs/>
                <w:color w:val="000000"/>
                <w:sz w:val="20"/>
                <w:szCs w:val="20"/>
              </w:rPr>
            </w:pPr>
          </w:p>
        </w:tc>
      </w:tr>
      <w:tr w:rsidR="00A6781A" w:rsidRPr="00CE777F" w14:paraId="6CF77D2B" w14:textId="77777777" w:rsidTr="00F02E8D">
        <w:trPr>
          <w:trHeight w:val="300"/>
        </w:trPr>
        <w:tc>
          <w:tcPr>
            <w:tcW w:w="536" w:type="pct"/>
            <w:tcBorders>
              <w:top w:val="nil"/>
              <w:left w:val="nil"/>
              <w:bottom w:val="nil"/>
              <w:right w:val="nil"/>
            </w:tcBorders>
            <w:shd w:val="clear" w:color="auto" w:fill="auto"/>
            <w:noWrap/>
            <w:vAlign w:val="center"/>
            <w:hideMark/>
          </w:tcPr>
          <w:p w14:paraId="2027A9E0" w14:textId="109F2445" w:rsidR="00A6781A" w:rsidRPr="00CE777F" w:rsidRDefault="00A6781A" w:rsidP="00A6781A">
            <w:pPr>
              <w:rPr>
                <w:rFonts w:eastAsia="Times New Roman"/>
                <w:color w:val="000000"/>
                <w:sz w:val="20"/>
                <w:szCs w:val="20"/>
              </w:rPr>
            </w:pPr>
            <w:r>
              <w:rPr>
                <w:color w:val="000000"/>
                <w:sz w:val="20"/>
                <w:szCs w:val="20"/>
              </w:rPr>
              <w:t>Bavarian Nordic</w:t>
            </w:r>
          </w:p>
        </w:tc>
        <w:tc>
          <w:tcPr>
            <w:tcW w:w="416" w:type="pct"/>
            <w:tcBorders>
              <w:top w:val="nil"/>
              <w:left w:val="nil"/>
              <w:bottom w:val="nil"/>
              <w:right w:val="nil"/>
            </w:tcBorders>
            <w:shd w:val="clear" w:color="auto" w:fill="auto"/>
            <w:noWrap/>
            <w:vAlign w:val="center"/>
            <w:hideMark/>
          </w:tcPr>
          <w:p w14:paraId="2CACCA39" w14:textId="42C8E016" w:rsidR="00A6781A" w:rsidRPr="00CE777F" w:rsidRDefault="00A6781A" w:rsidP="00A6781A">
            <w:pPr>
              <w:rPr>
                <w:rFonts w:eastAsia="Times New Roman"/>
                <w:color w:val="000000"/>
                <w:sz w:val="20"/>
                <w:szCs w:val="20"/>
              </w:rPr>
            </w:pPr>
            <w:r>
              <w:rPr>
                <w:color w:val="000000"/>
                <w:sz w:val="20"/>
                <w:szCs w:val="20"/>
              </w:rPr>
              <w:t>San Diego</w:t>
            </w:r>
          </w:p>
        </w:tc>
        <w:tc>
          <w:tcPr>
            <w:tcW w:w="300" w:type="pct"/>
            <w:tcBorders>
              <w:top w:val="nil"/>
              <w:left w:val="nil"/>
              <w:bottom w:val="nil"/>
              <w:right w:val="nil"/>
            </w:tcBorders>
            <w:shd w:val="clear" w:color="auto" w:fill="auto"/>
            <w:noWrap/>
            <w:vAlign w:val="center"/>
            <w:hideMark/>
          </w:tcPr>
          <w:p w14:paraId="7BD6A9FF" w14:textId="2FEE2D17" w:rsidR="00A6781A" w:rsidRPr="00CE777F" w:rsidRDefault="00A6781A" w:rsidP="00A6781A">
            <w:pPr>
              <w:rPr>
                <w:rFonts w:eastAsia="Times New Roman"/>
                <w:color w:val="000000"/>
                <w:sz w:val="20"/>
                <w:szCs w:val="20"/>
              </w:rPr>
            </w:pPr>
            <w:r>
              <w:rPr>
                <w:color w:val="000000"/>
                <w:sz w:val="20"/>
                <w:szCs w:val="20"/>
              </w:rPr>
              <w:t>North Carolina</w:t>
            </w:r>
          </w:p>
        </w:tc>
        <w:tc>
          <w:tcPr>
            <w:tcW w:w="650" w:type="pct"/>
            <w:tcBorders>
              <w:top w:val="nil"/>
              <w:left w:val="nil"/>
              <w:bottom w:val="nil"/>
              <w:right w:val="nil"/>
            </w:tcBorders>
            <w:shd w:val="clear" w:color="auto" w:fill="auto"/>
            <w:noWrap/>
            <w:vAlign w:val="center"/>
            <w:hideMark/>
          </w:tcPr>
          <w:p w14:paraId="75448BCD" w14:textId="662F1018" w:rsidR="00A6781A" w:rsidRPr="00CE777F" w:rsidRDefault="00A6781A" w:rsidP="00A6781A">
            <w:pPr>
              <w:rPr>
                <w:rFonts w:eastAsia="Times New Roman"/>
                <w:color w:val="000000"/>
                <w:sz w:val="20"/>
                <w:szCs w:val="20"/>
              </w:rPr>
            </w:pPr>
            <w:r>
              <w:rPr>
                <w:color w:val="000000"/>
                <w:sz w:val="20"/>
                <w:szCs w:val="20"/>
              </w:rPr>
              <w:t>Biotech R&amp;D closure</w:t>
            </w:r>
          </w:p>
        </w:tc>
        <w:tc>
          <w:tcPr>
            <w:tcW w:w="2715" w:type="pct"/>
            <w:tcBorders>
              <w:top w:val="nil"/>
              <w:left w:val="nil"/>
              <w:bottom w:val="nil"/>
              <w:right w:val="nil"/>
            </w:tcBorders>
            <w:shd w:val="clear" w:color="auto" w:fill="auto"/>
            <w:noWrap/>
            <w:vAlign w:val="bottom"/>
            <w:hideMark/>
          </w:tcPr>
          <w:p w14:paraId="61B43487" w14:textId="4E9C8DA6" w:rsidR="00A6781A" w:rsidRPr="00CE777F" w:rsidRDefault="00A6781A" w:rsidP="00A6781A">
            <w:pPr>
              <w:rPr>
                <w:rFonts w:eastAsia="Times New Roman"/>
                <w:color w:val="000000"/>
              </w:rPr>
            </w:pPr>
            <w:r>
              <w:rPr>
                <w:color w:val="000000"/>
                <w:sz w:val="20"/>
                <w:szCs w:val="20"/>
              </w:rPr>
              <w:t>https://www.fiercebiotech.com/biotech/bavarian-nordic-plans-shut-down-san-diego-rd-site-laying-all-48-employees</w:t>
            </w:r>
          </w:p>
        </w:tc>
        <w:tc>
          <w:tcPr>
            <w:tcW w:w="383" w:type="pct"/>
            <w:tcBorders>
              <w:top w:val="nil"/>
              <w:left w:val="nil"/>
              <w:bottom w:val="nil"/>
              <w:right w:val="nil"/>
            </w:tcBorders>
            <w:shd w:val="clear" w:color="auto" w:fill="auto"/>
            <w:noWrap/>
            <w:vAlign w:val="bottom"/>
            <w:hideMark/>
          </w:tcPr>
          <w:p w14:paraId="594FFF06" w14:textId="1412C556" w:rsidR="00A6781A" w:rsidRPr="00CE777F" w:rsidRDefault="00A6781A" w:rsidP="00A6781A">
            <w:pPr>
              <w:tabs>
                <w:tab w:val="left" w:pos="128"/>
              </w:tabs>
              <w:jc w:val="right"/>
              <w:rPr>
                <w:rFonts w:eastAsia="Times New Roman"/>
                <w:color w:val="000000"/>
              </w:rPr>
            </w:pPr>
            <w:r>
              <w:rPr>
                <w:color w:val="000000"/>
                <w:sz w:val="20"/>
                <w:szCs w:val="20"/>
              </w:rPr>
              <w:t>2024</w:t>
            </w:r>
          </w:p>
        </w:tc>
      </w:tr>
      <w:tr w:rsidR="00A6781A" w:rsidRPr="00CE777F" w14:paraId="14B29021" w14:textId="77777777" w:rsidTr="00F02E8D">
        <w:trPr>
          <w:trHeight w:val="300"/>
        </w:trPr>
        <w:tc>
          <w:tcPr>
            <w:tcW w:w="536" w:type="pct"/>
            <w:tcBorders>
              <w:top w:val="nil"/>
              <w:left w:val="nil"/>
              <w:bottom w:val="nil"/>
              <w:right w:val="nil"/>
            </w:tcBorders>
            <w:shd w:val="clear" w:color="auto" w:fill="auto"/>
            <w:noWrap/>
            <w:vAlign w:val="center"/>
            <w:hideMark/>
          </w:tcPr>
          <w:p w14:paraId="6D89BB5A" w14:textId="5B527394" w:rsidR="00A6781A" w:rsidRPr="00CE777F" w:rsidRDefault="00A6781A" w:rsidP="00A6781A">
            <w:pPr>
              <w:rPr>
                <w:rFonts w:eastAsia="Times New Roman"/>
                <w:color w:val="000000"/>
                <w:sz w:val="20"/>
                <w:szCs w:val="20"/>
              </w:rPr>
            </w:pPr>
            <w:r>
              <w:rPr>
                <w:color w:val="000000"/>
                <w:sz w:val="20"/>
                <w:szCs w:val="20"/>
              </w:rPr>
              <w:t>Castle Studios</w:t>
            </w:r>
          </w:p>
        </w:tc>
        <w:tc>
          <w:tcPr>
            <w:tcW w:w="416" w:type="pct"/>
            <w:tcBorders>
              <w:top w:val="nil"/>
              <w:left w:val="nil"/>
              <w:bottom w:val="nil"/>
              <w:right w:val="nil"/>
            </w:tcBorders>
            <w:shd w:val="clear" w:color="auto" w:fill="auto"/>
            <w:noWrap/>
            <w:vAlign w:val="center"/>
            <w:hideMark/>
          </w:tcPr>
          <w:p w14:paraId="57E558B7" w14:textId="0E0E6DFF" w:rsidR="00A6781A" w:rsidRPr="00CE777F" w:rsidRDefault="00A6781A" w:rsidP="00A6781A">
            <w:pPr>
              <w:rPr>
                <w:rFonts w:eastAsia="Times New Roman"/>
                <w:color w:val="000000"/>
                <w:sz w:val="20"/>
                <w:szCs w:val="20"/>
              </w:rPr>
            </w:pPr>
            <w:r>
              <w:rPr>
                <w:color w:val="000000"/>
                <w:sz w:val="20"/>
                <w:szCs w:val="20"/>
              </w:rPr>
              <w:t>Burbank</w:t>
            </w:r>
          </w:p>
        </w:tc>
        <w:tc>
          <w:tcPr>
            <w:tcW w:w="300" w:type="pct"/>
            <w:tcBorders>
              <w:top w:val="nil"/>
              <w:left w:val="nil"/>
              <w:bottom w:val="nil"/>
              <w:right w:val="nil"/>
            </w:tcBorders>
            <w:shd w:val="clear" w:color="auto" w:fill="auto"/>
            <w:noWrap/>
            <w:vAlign w:val="center"/>
            <w:hideMark/>
          </w:tcPr>
          <w:p w14:paraId="14894969" w14:textId="0CF94E25" w:rsidR="00A6781A" w:rsidRPr="00CE777F" w:rsidRDefault="00A6781A" w:rsidP="00A6781A">
            <w:pPr>
              <w:rPr>
                <w:rFonts w:eastAsia="Times New Roman"/>
                <w:color w:val="000000"/>
                <w:sz w:val="20"/>
                <w:szCs w:val="20"/>
              </w:rPr>
            </w:pPr>
            <w:r>
              <w:rPr>
                <w:color w:val="000000"/>
                <w:sz w:val="20"/>
                <w:szCs w:val="20"/>
              </w:rPr>
              <w:t>New Mexico</w:t>
            </w:r>
          </w:p>
        </w:tc>
        <w:tc>
          <w:tcPr>
            <w:tcW w:w="650" w:type="pct"/>
            <w:tcBorders>
              <w:top w:val="nil"/>
              <w:left w:val="nil"/>
              <w:bottom w:val="nil"/>
              <w:right w:val="nil"/>
            </w:tcBorders>
            <w:shd w:val="clear" w:color="auto" w:fill="auto"/>
            <w:noWrap/>
            <w:vAlign w:val="center"/>
            <w:hideMark/>
          </w:tcPr>
          <w:p w14:paraId="71D20E51" w14:textId="14CC1EE5" w:rsidR="00A6781A" w:rsidRPr="00CE777F" w:rsidRDefault="00A6781A" w:rsidP="00A6781A">
            <w:pPr>
              <w:rPr>
                <w:rFonts w:eastAsia="Times New Roman"/>
                <w:color w:val="000000"/>
                <w:sz w:val="20"/>
                <w:szCs w:val="20"/>
              </w:rPr>
            </w:pPr>
            <w:r>
              <w:rPr>
                <w:color w:val="000000"/>
                <w:sz w:val="20"/>
                <w:szCs w:val="20"/>
              </w:rPr>
              <w:t>Studio expansion</w:t>
            </w:r>
          </w:p>
        </w:tc>
        <w:tc>
          <w:tcPr>
            <w:tcW w:w="2715" w:type="pct"/>
            <w:tcBorders>
              <w:top w:val="nil"/>
              <w:left w:val="nil"/>
              <w:bottom w:val="nil"/>
              <w:right w:val="nil"/>
            </w:tcBorders>
            <w:shd w:val="clear" w:color="auto" w:fill="auto"/>
            <w:noWrap/>
            <w:vAlign w:val="bottom"/>
            <w:hideMark/>
          </w:tcPr>
          <w:p w14:paraId="227C3D14" w14:textId="5D288035" w:rsidR="00A6781A" w:rsidRPr="00CE777F" w:rsidRDefault="00A6781A" w:rsidP="00A6781A">
            <w:pPr>
              <w:rPr>
                <w:rFonts w:eastAsia="Times New Roman"/>
                <w:color w:val="000000"/>
              </w:rPr>
            </w:pPr>
            <w:r>
              <w:rPr>
                <w:color w:val="000000"/>
                <w:sz w:val="20"/>
                <w:szCs w:val="20"/>
              </w:rPr>
              <w:t>https://www.yahoo.com/entertainment/virtual-film-studio-opens-northern-045436970.html</w:t>
            </w:r>
          </w:p>
        </w:tc>
        <w:tc>
          <w:tcPr>
            <w:tcW w:w="383" w:type="pct"/>
            <w:tcBorders>
              <w:top w:val="nil"/>
              <w:left w:val="nil"/>
              <w:bottom w:val="nil"/>
              <w:right w:val="nil"/>
            </w:tcBorders>
            <w:shd w:val="clear" w:color="auto" w:fill="auto"/>
            <w:noWrap/>
            <w:vAlign w:val="bottom"/>
            <w:hideMark/>
          </w:tcPr>
          <w:p w14:paraId="133FE14A" w14:textId="14CD1538" w:rsidR="00A6781A" w:rsidRPr="00CE777F" w:rsidRDefault="00A6781A" w:rsidP="00A6781A">
            <w:pPr>
              <w:jc w:val="right"/>
              <w:rPr>
                <w:rFonts w:eastAsia="Times New Roman"/>
                <w:color w:val="000000"/>
              </w:rPr>
            </w:pPr>
            <w:r>
              <w:rPr>
                <w:color w:val="000000"/>
                <w:sz w:val="20"/>
                <w:szCs w:val="20"/>
              </w:rPr>
              <w:t>2024</w:t>
            </w:r>
          </w:p>
        </w:tc>
      </w:tr>
      <w:tr w:rsidR="00A6781A" w:rsidRPr="00CE777F" w14:paraId="5C84B3F4" w14:textId="77777777" w:rsidTr="00F02E8D">
        <w:trPr>
          <w:trHeight w:val="300"/>
        </w:trPr>
        <w:tc>
          <w:tcPr>
            <w:tcW w:w="536" w:type="pct"/>
            <w:tcBorders>
              <w:top w:val="nil"/>
              <w:left w:val="nil"/>
              <w:bottom w:val="nil"/>
              <w:right w:val="nil"/>
            </w:tcBorders>
            <w:shd w:val="clear" w:color="auto" w:fill="auto"/>
            <w:vAlign w:val="center"/>
            <w:hideMark/>
          </w:tcPr>
          <w:p w14:paraId="214FF6F7" w14:textId="7D1F1270" w:rsidR="00A6781A" w:rsidRPr="00CE777F" w:rsidRDefault="00A6781A" w:rsidP="00A6781A">
            <w:pPr>
              <w:rPr>
                <w:rFonts w:eastAsia="Times New Roman"/>
                <w:color w:val="000000"/>
              </w:rPr>
            </w:pPr>
            <w:proofErr w:type="spellStart"/>
            <w:r>
              <w:rPr>
                <w:color w:val="000000"/>
                <w:sz w:val="20"/>
                <w:szCs w:val="20"/>
              </w:rPr>
              <w:t>Colovore</w:t>
            </w:r>
            <w:proofErr w:type="spellEnd"/>
          </w:p>
        </w:tc>
        <w:tc>
          <w:tcPr>
            <w:tcW w:w="416" w:type="pct"/>
            <w:tcBorders>
              <w:top w:val="nil"/>
              <w:left w:val="nil"/>
              <w:bottom w:val="nil"/>
              <w:right w:val="nil"/>
            </w:tcBorders>
            <w:shd w:val="clear" w:color="auto" w:fill="auto"/>
            <w:noWrap/>
            <w:vAlign w:val="center"/>
            <w:hideMark/>
          </w:tcPr>
          <w:p w14:paraId="13C22552" w14:textId="7CEF801B" w:rsidR="00A6781A" w:rsidRPr="00CE777F" w:rsidRDefault="00A6781A" w:rsidP="00A6781A">
            <w:pPr>
              <w:rPr>
                <w:rFonts w:eastAsia="Times New Roman"/>
                <w:color w:val="000000"/>
              </w:rPr>
            </w:pPr>
            <w:r>
              <w:rPr>
                <w:color w:val="000000"/>
                <w:sz w:val="20"/>
                <w:szCs w:val="20"/>
              </w:rPr>
              <w:t>Santa Clara</w:t>
            </w:r>
          </w:p>
        </w:tc>
        <w:tc>
          <w:tcPr>
            <w:tcW w:w="300" w:type="pct"/>
            <w:tcBorders>
              <w:top w:val="nil"/>
              <w:left w:val="nil"/>
              <w:bottom w:val="nil"/>
              <w:right w:val="nil"/>
            </w:tcBorders>
            <w:shd w:val="clear" w:color="auto" w:fill="auto"/>
            <w:noWrap/>
            <w:vAlign w:val="center"/>
            <w:hideMark/>
          </w:tcPr>
          <w:p w14:paraId="1A1E6820" w14:textId="606A0E15" w:rsidR="00A6781A" w:rsidRPr="00CE777F" w:rsidRDefault="00A6781A" w:rsidP="00A6781A">
            <w:pPr>
              <w:rPr>
                <w:rFonts w:eastAsia="Times New Roman"/>
                <w:color w:val="000000"/>
              </w:rPr>
            </w:pPr>
            <w:r>
              <w:rPr>
                <w:color w:val="000000"/>
                <w:sz w:val="20"/>
                <w:szCs w:val="20"/>
              </w:rPr>
              <w:t>Texas</w:t>
            </w:r>
          </w:p>
        </w:tc>
        <w:tc>
          <w:tcPr>
            <w:tcW w:w="650" w:type="pct"/>
            <w:tcBorders>
              <w:top w:val="nil"/>
              <w:left w:val="nil"/>
              <w:bottom w:val="nil"/>
              <w:right w:val="nil"/>
            </w:tcBorders>
            <w:shd w:val="clear" w:color="auto" w:fill="auto"/>
            <w:noWrap/>
            <w:vAlign w:val="center"/>
            <w:hideMark/>
          </w:tcPr>
          <w:p w14:paraId="1B8D42FB" w14:textId="41B10AC6" w:rsidR="00A6781A" w:rsidRPr="00CE777F" w:rsidRDefault="00A6781A" w:rsidP="00A6781A">
            <w:pPr>
              <w:rPr>
                <w:rFonts w:eastAsia="Times New Roman"/>
                <w:color w:val="000000"/>
              </w:rPr>
            </w:pPr>
            <w:r>
              <w:rPr>
                <w:color w:val="000000"/>
                <w:sz w:val="20"/>
                <w:szCs w:val="20"/>
              </w:rPr>
              <w:t>$500 million data center</w:t>
            </w:r>
          </w:p>
        </w:tc>
        <w:tc>
          <w:tcPr>
            <w:tcW w:w="2715" w:type="pct"/>
            <w:tcBorders>
              <w:top w:val="nil"/>
              <w:left w:val="nil"/>
              <w:bottom w:val="nil"/>
              <w:right w:val="nil"/>
            </w:tcBorders>
            <w:shd w:val="clear" w:color="auto" w:fill="auto"/>
            <w:noWrap/>
            <w:vAlign w:val="bottom"/>
            <w:hideMark/>
          </w:tcPr>
          <w:p w14:paraId="154F693C" w14:textId="083EDC6C" w:rsidR="00A6781A" w:rsidRPr="00CE777F" w:rsidRDefault="00A6781A" w:rsidP="00A6781A">
            <w:pPr>
              <w:rPr>
                <w:rFonts w:eastAsia="Times New Roman"/>
                <w:color w:val="000000"/>
                <w:sz w:val="20"/>
                <w:szCs w:val="20"/>
              </w:rPr>
            </w:pPr>
            <w:r>
              <w:rPr>
                <w:color w:val="000000"/>
                <w:sz w:val="20"/>
                <w:szCs w:val="20"/>
              </w:rPr>
              <w:t>https://www.datacenterdynamics.com/en/news/colovore-plans-data-center-in-austin-texas/</w:t>
            </w:r>
          </w:p>
        </w:tc>
        <w:tc>
          <w:tcPr>
            <w:tcW w:w="383" w:type="pct"/>
            <w:tcBorders>
              <w:top w:val="nil"/>
              <w:left w:val="nil"/>
              <w:bottom w:val="nil"/>
              <w:right w:val="nil"/>
            </w:tcBorders>
            <w:shd w:val="clear" w:color="auto" w:fill="auto"/>
            <w:noWrap/>
            <w:vAlign w:val="bottom"/>
            <w:hideMark/>
          </w:tcPr>
          <w:p w14:paraId="2284D24E" w14:textId="44DC0393" w:rsidR="00A6781A" w:rsidRPr="00CE777F" w:rsidRDefault="00A6781A" w:rsidP="00A6781A">
            <w:pPr>
              <w:jc w:val="right"/>
              <w:rPr>
                <w:rFonts w:eastAsia="Times New Roman"/>
                <w:color w:val="000000"/>
                <w:sz w:val="20"/>
                <w:szCs w:val="20"/>
              </w:rPr>
            </w:pPr>
            <w:r>
              <w:rPr>
                <w:color w:val="000000"/>
                <w:sz w:val="20"/>
                <w:szCs w:val="20"/>
              </w:rPr>
              <w:t>2024</w:t>
            </w:r>
          </w:p>
        </w:tc>
      </w:tr>
      <w:tr w:rsidR="00A6781A" w:rsidRPr="00CE777F" w14:paraId="2C13A392" w14:textId="77777777" w:rsidTr="00F02E8D">
        <w:trPr>
          <w:trHeight w:val="300"/>
        </w:trPr>
        <w:tc>
          <w:tcPr>
            <w:tcW w:w="536" w:type="pct"/>
            <w:tcBorders>
              <w:top w:val="nil"/>
              <w:left w:val="nil"/>
              <w:bottom w:val="nil"/>
              <w:right w:val="nil"/>
            </w:tcBorders>
            <w:shd w:val="clear" w:color="auto" w:fill="auto"/>
            <w:noWrap/>
            <w:vAlign w:val="center"/>
            <w:hideMark/>
          </w:tcPr>
          <w:p w14:paraId="69F88BA1" w14:textId="5D43150B" w:rsidR="00A6781A" w:rsidRPr="00CE777F" w:rsidRDefault="00A6781A" w:rsidP="00A6781A">
            <w:pPr>
              <w:rPr>
                <w:rFonts w:eastAsia="Times New Roman"/>
                <w:color w:val="000000"/>
                <w:sz w:val="20"/>
                <w:szCs w:val="20"/>
              </w:rPr>
            </w:pPr>
            <w:r>
              <w:rPr>
                <w:color w:val="000000"/>
                <w:sz w:val="20"/>
                <w:szCs w:val="20"/>
              </w:rPr>
              <w:t>Continuum</w:t>
            </w:r>
          </w:p>
        </w:tc>
        <w:tc>
          <w:tcPr>
            <w:tcW w:w="416" w:type="pct"/>
            <w:tcBorders>
              <w:top w:val="nil"/>
              <w:left w:val="nil"/>
              <w:bottom w:val="nil"/>
              <w:right w:val="nil"/>
            </w:tcBorders>
            <w:shd w:val="clear" w:color="auto" w:fill="auto"/>
            <w:noWrap/>
            <w:vAlign w:val="center"/>
            <w:hideMark/>
          </w:tcPr>
          <w:p w14:paraId="7F118038" w14:textId="0309F150" w:rsidR="00A6781A" w:rsidRPr="00CE777F" w:rsidRDefault="00A6781A" w:rsidP="00A6781A">
            <w:pPr>
              <w:rPr>
                <w:rFonts w:eastAsia="Times New Roman"/>
                <w:color w:val="000000"/>
                <w:sz w:val="20"/>
                <w:szCs w:val="20"/>
              </w:rPr>
            </w:pPr>
            <w:r>
              <w:rPr>
                <w:color w:val="000000"/>
                <w:sz w:val="20"/>
                <w:szCs w:val="20"/>
              </w:rPr>
              <w:t>Cloverdale</w:t>
            </w:r>
          </w:p>
        </w:tc>
        <w:tc>
          <w:tcPr>
            <w:tcW w:w="300" w:type="pct"/>
            <w:tcBorders>
              <w:top w:val="nil"/>
              <w:left w:val="nil"/>
              <w:bottom w:val="nil"/>
              <w:right w:val="nil"/>
            </w:tcBorders>
            <w:shd w:val="clear" w:color="auto" w:fill="auto"/>
            <w:noWrap/>
            <w:vAlign w:val="center"/>
            <w:hideMark/>
          </w:tcPr>
          <w:p w14:paraId="5D70D14A" w14:textId="25AFABEA" w:rsidR="00A6781A" w:rsidRPr="00CE777F" w:rsidRDefault="00A6781A" w:rsidP="00A6781A">
            <w:pPr>
              <w:rPr>
                <w:rFonts w:eastAsia="Times New Roman"/>
                <w:color w:val="000000"/>
                <w:sz w:val="20"/>
                <w:szCs w:val="20"/>
              </w:rPr>
            </w:pPr>
            <w:r>
              <w:rPr>
                <w:color w:val="000000"/>
                <w:sz w:val="20"/>
                <w:szCs w:val="20"/>
              </w:rPr>
              <w:t>Texas</w:t>
            </w:r>
          </w:p>
        </w:tc>
        <w:tc>
          <w:tcPr>
            <w:tcW w:w="650" w:type="pct"/>
            <w:tcBorders>
              <w:top w:val="nil"/>
              <w:left w:val="nil"/>
              <w:bottom w:val="nil"/>
              <w:right w:val="nil"/>
            </w:tcBorders>
            <w:shd w:val="clear" w:color="auto" w:fill="auto"/>
            <w:noWrap/>
            <w:vAlign w:val="center"/>
            <w:hideMark/>
          </w:tcPr>
          <w:p w14:paraId="4C19E1EB" w14:textId="70B232B9" w:rsidR="00A6781A" w:rsidRPr="00CE777F" w:rsidRDefault="00A6781A" w:rsidP="00A6781A">
            <w:pPr>
              <w:rPr>
                <w:rFonts w:eastAsia="Times New Roman"/>
                <w:color w:val="000000"/>
                <w:sz w:val="20"/>
                <w:szCs w:val="20"/>
              </w:rPr>
            </w:pPr>
            <w:r>
              <w:rPr>
                <w:color w:val="000000"/>
                <w:sz w:val="20"/>
                <w:szCs w:val="20"/>
              </w:rPr>
              <w:t>HQ move and manufacturing expansion</w:t>
            </w:r>
          </w:p>
        </w:tc>
        <w:tc>
          <w:tcPr>
            <w:tcW w:w="2715" w:type="pct"/>
            <w:tcBorders>
              <w:top w:val="nil"/>
              <w:left w:val="nil"/>
              <w:bottom w:val="nil"/>
              <w:right w:val="nil"/>
            </w:tcBorders>
            <w:shd w:val="clear" w:color="auto" w:fill="auto"/>
            <w:noWrap/>
            <w:vAlign w:val="bottom"/>
            <w:hideMark/>
          </w:tcPr>
          <w:p w14:paraId="17FCCCA4" w14:textId="5C5F2E68" w:rsidR="00A6781A" w:rsidRPr="00CE777F" w:rsidRDefault="00A6781A" w:rsidP="00A6781A">
            <w:pPr>
              <w:rPr>
                <w:rFonts w:eastAsia="Times New Roman"/>
                <w:color w:val="000000"/>
              </w:rPr>
            </w:pPr>
            <w:r>
              <w:rPr>
                <w:color w:val="000000"/>
                <w:sz w:val="20"/>
                <w:szCs w:val="20"/>
              </w:rPr>
              <w:t>https://www.bizjournals.com/houston/news/2024/11/21/continuum-moves-headquarters-to-houston.html</w:t>
            </w:r>
          </w:p>
        </w:tc>
        <w:tc>
          <w:tcPr>
            <w:tcW w:w="383" w:type="pct"/>
            <w:tcBorders>
              <w:top w:val="nil"/>
              <w:left w:val="nil"/>
              <w:bottom w:val="nil"/>
              <w:right w:val="nil"/>
            </w:tcBorders>
            <w:shd w:val="clear" w:color="auto" w:fill="auto"/>
            <w:noWrap/>
            <w:vAlign w:val="bottom"/>
            <w:hideMark/>
          </w:tcPr>
          <w:p w14:paraId="58436201" w14:textId="4BC38980" w:rsidR="00A6781A" w:rsidRPr="00CE777F" w:rsidRDefault="00A6781A" w:rsidP="00A6781A">
            <w:pPr>
              <w:jc w:val="right"/>
              <w:rPr>
                <w:rFonts w:eastAsia="Times New Roman"/>
                <w:color w:val="000000"/>
              </w:rPr>
            </w:pPr>
            <w:r>
              <w:rPr>
                <w:color w:val="000000"/>
                <w:sz w:val="20"/>
                <w:szCs w:val="20"/>
              </w:rPr>
              <w:t>2024</w:t>
            </w:r>
          </w:p>
        </w:tc>
      </w:tr>
      <w:tr w:rsidR="00A6781A" w:rsidRPr="00CE777F" w14:paraId="18CC2F02" w14:textId="77777777" w:rsidTr="00F02E8D">
        <w:trPr>
          <w:trHeight w:val="300"/>
        </w:trPr>
        <w:tc>
          <w:tcPr>
            <w:tcW w:w="536" w:type="pct"/>
            <w:tcBorders>
              <w:top w:val="nil"/>
              <w:left w:val="nil"/>
              <w:bottom w:val="nil"/>
              <w:right w:val="nil"/>
            </w:tcBorders>
            <w:shd w:val="clear" w:color="auto" w:fill="auto"/>
            <w:noWrap/>
            <w:vAlign w:val="center"/>
            <w:hideMark/>
          </w:tcPr>
          <w:p w14:paraId="0876DE67" w14:textId="480283FB" w:rsidR="00A6781A" w:rsidRPr="00CE777F" w:rsidRDefault="00A6781A" w:rsidP="00A6781A">
            <w:pPr>
              <w:rPr>
                <w:rFonts w:eastAsia="Times New Roman"/>
                <w:color w:val="000000"/>
                <w:sz w:val="20"/>
                <w:szCs w:val="20"/>
              </w:rPr>
            </w:pPr>
            <w:r>
              <w:rPr>
                <w:color w:val="000000"/>
                <w:sz w:val="20"/>
                <w:szCs w:val="20"/>
              </w:rPr>
              <w:t>Fortinet</w:t>
            </w:r>
          </w:p>
        </w:tc>
        <w:tc>
          <w:tcPr>
            <w:tcW w:w="416" w:type="pct"/>
            <w:tcBorders>
              <w:top w:val="nil"/>
              <w:left w:val="nil"/>
              <w:bottom w:val="nil"/>
              <w:right w:val="nil"/>
            </w:tcBorders>
            <w:shd w:val="clear" w:color="auto" w:fill="auto"/>
            <w:noWrap/>
            <w:vAlign w:val="center"/>
            <w:hideMark/>
          </w:tcPr>
          <w:p w14:paraId="533EB809" w14:textId="1E57AFDA" w:rsidR="00A6781A" w:rsidRPr="00CE777F" w:rsidRDefault="00A6781A" w:rsidP="00A6781A">
            <w:pPr>
              <w:rPr>
                <w:rFonts w:eastAsia="Times New Roman"/>
                <w:color w:val="000000"/>
                <w:sz w:val="20"/>
                <w:szCs w:val="20"/>
              </w:rPr>
            </w:pPr>
            <w:r>
              <w:rPr>
                <w:color w:val="000000"/>
                <w:sz w:val="20"/>
                <w:szCs w:val="20"/>
              </w:rPr>
              <w:t>Sunnyvale</w:t>
            </w:r>
          </w:p>
        </w:tc>
        <w:tc>
          <w:tcPr>
            <w:tcW w:w="300" w:type="pct"/>
            <w:tcBorders>
              <w:top w:val="nil"/>
              <w:left w:val="nil"/>
              <w:bottom w:val="nil"/>
              <w:right w:val="nil"/>
            </w:tcBorders>
            <w:shd w:val="clear" w:color="auto" w:fill="auto"/>
            <w:noWrap/>
            <w:vAlign w:val="center"/>
            <w:hideMark/>
          </w:tcPr>
          <w:p w14:paraId="282707F7" w14:textId="5702E0C2" w:rsidR="00A6781A" w:rsidRPr="00CE777F" w:rsidRDefault="00A6781A" w:rsidP="00A6781A">
            <w:pPr>
              <w:rPr>
                <w:rFonts w:eastAsia="Times New Roman"/>
                <w:color w:val="000000"/>
                <w:sz w:val="20"/>
                <w:szCs w:val="20"/>
              </w:rPr>
            </w:pPr>
            <w:r>
              <w:rPr>
                <w:color w:val="000000"/>
                <w:sz w:val="20"/>
                <w:szCs w:val="20"/>
              </w:rPr>
              <w:t>Georgia</w:t>
            </w:r>
          </w:p>
        </w:tc>
        <w:tc>
          <w:tcPr>
            <w:tcW w:w="650" w:type="pct"/>
            <w:tcBorders>
              <w:top w:val="nil"/>
              <w:left w:val="nil"/>
              <w:bottom w:val="nil"/>
              <w:right w:val="nil"/>
            </w:tcBorders>
            <w:shd w:val="clear" w:color="auto" w:fill="auto"/>
            <w:noWrap/>
            <w:vAlign w:val="center"/>
            <w:hideMark/>
          </w:tcPr>
          <w:p w14:paraId="7C694846" w14:textId="44EBFADB" w:rsidR="00A6781A" w:rsidRPr="00CE777F" w:rsidRDefault="00A6781A" w:rsidP="00A6781A">
            <w:pPr>
              <w:rPr>
                <w:rFonts w:eastAsia="Times New Roman"/>
                <w:color w:val="000000"/>
                <w:sz w:val="20"/>
                <w:szCs w:val="20"/>
              </w:rPr>
            </w:pPr>
            <w:r>
              <w:rPr>
                <w:color w:val="000000"/>
                <w:sz w:val="20"/>
                <w:szCs w:val="20"/>
              </w:rPr>
              <w:t>Expansion</w:t>
            </w:r>
          </w:p>
        </w:tc>
        <w:tc>
          <w:tcPr>
            <w:tcW w:w="2715" w:type="pct"/>
            <w:tcBorders>
              <w:top w:val="nil"/>
              <w:left w:val="nil"/>
              <w:bottom w:val="nil"/>
              <w:right w:val="nil"/>
            </w:tcBorders>
            <w:shd w:val="clear" w:color="auto" w:fill="auto"/>
            <w:noWrap/>
            <w:vAlign w:val="bottom"/>
            <w:hideMark/>
          </w:tcPr>
          <w:p w14:paraId="6E069273" w14:textId="1A1FE410" w:rsidR="00A6781A" w:rsidRPr="00CE777F" w:rsidRDefault="00A6781A" w:rsidP="00A6781A">
            <w:pPr>
              <w:rPr>
                <w:rFonts w:eastAsia="Times New Roman"/>
                <w:color w:val="000000"/>
              </w:rPr>
            </w:pPr>
            <w:r>
              <w:rPr>
                <w:color w:val="000000"/>
                <w:sz w:val="20"/>
                <w:szCs w:val="20"/>
              </w:rPr>
              <w:t>https://www.bizjournals.com/atlanta/news/2024/11/22/fortinet-acquisition-cumberland-cobb-county.html</w:t>
            </w:r>
          </w:p>
        </w:tc>
        <w:tc>
          <w:tcPr>
            <w:tcW w:w="383" w:type="pct"/>
            <w:tcBorders>
              <w:top w:val="nil"/>
              <w:left w:val="nil"/>
              <w:bottom w:val="nil"/>
              <w:right w:val="nil"/>
            </w:tcBorders>
            <w:shd w:val="clear" w:color="auto" w:fill="auto"/>
            <w:noWrap/>
            <w:vAlign w:val="bottom"/>
            <w:hideMark/>
          </w:tcPr>
          <w:p w14:paraId="0D2D2AB6" w14:textId="56C20BE6" w:rsidR="00A6781A" w:rsidRPr="00CE777F" w:rsidRDefault="00A6781A" w:rsidP="00A6781A">
            <w:pPr>
              <w:jc w:val="right"/>
              <w:rPr>
                <w:rFonts w:eastAsia="Times New Roman"/>
                <w:color w:val="000000"/>
              </w:rPr>
            </w:pPr>
            <w:r>
              <w:rPr>
                <w:color w:val="000000"/>
                <w:sz w:val="20"/>
                <w:szCs w:val="20"/>
              </w:rPr>
              <w:t>2024</w:t>
            </w:r>
          </w:p>
        </w:tc>
      </w:tr>
      <w:tr w:rsidR="00A6781A" w:rsidRPr="00CE777F" w14:paraId="516C5529" w14:textId="77777777" w:rsidTr="00F02E8D">
        <w:trPr>
          <w:trHeight w:val="300"/>
        </w:trPr>
        <w:tc>
          <w:tcPr>
            <w:tcW w:w="536" w:type="pct"/>
            <w:tcBorders>
              <w:top w:val="nil"/>
              <w:left w:val="nil"/>
              <w:bottom w:val="nil"/>
              <w:right w:val="nil"/>
            </w:tcBorders>
            <w:shd w:val="clear" w:color="auto" w:fill="auto"/>
            <w:noWrap/>
            <w:vAlign w:val="center"/>
            <w:hideMark/>
          </w:tcPr>
          <w:p w14:paraId="6C341D9D" w14:textId="1A249DD4" w:rsidR="00A6781A" w:rsidRPr="00CE777F" w:rsidRDefault="00A6781A" w:rsidP="00A6781A">
            <w:pPr>
              <w:rPr>
                <w:rFonts w:eastAsia="Times New Roman"/>
                <w:color w:val="000000"/>
                <w:sz w:val="20"/>
                <w:szCs w:val="20"/>
              </w:rPr>
            </w:pPr>
            <w:r>
              <w:rPr>
                <w:color w:val="000000"/>
                <w:sz w:val="20"/>
                <w:szCs w:val="20"/>
              </w:rPr>
              <w:t>Manufactured Packaged Products</w:t>
            </w:r>
          </w:p>
        </w:tc>
        <w:tc>
          <w:tcPr>
            <w:tcW w:w="416" w:type="pct"/>
            <w:tcBorders>
              <w:top w:val="nil"/>
              <w:left w:val="nil"/>
              <w:bottom w:val="nil"/>
              <w:right w:val="nil"/>
            </w:tcBorders>
            <w:shd w:val="clear" w:color="auto" w:fill="auto"/>
            <w:noWrap/>
            <w:vAlign w:val="center"/>
            <w:hideMark/>
          </w:tcPr>
          <w:p w14:paraId="26611197" w14:textId="459D11FF" w:rsidR="00A6781A" w:rsidRPr="00CE777F" w:rsidRDefault="00A6781A" w:rsidP="00A6781A">
            <w:pPr>
              <w:rPr>
                <w:rFonts w:eastAsia="Times New Roman"/>
                <w:color w:val="000000"/>
                <w:sz w:val="20"/>
                <w:szCs w:val="20"/>
              </w:rPr>
            </w:pPr>
            <w:r>
              <w:rPr>
                <w:color w:val="000000"/>
                <w:sz w:val="20"/>
                <w:szCs w:val="20"/>
              </w:rPr>
              <w:t>Brea</w:t>
            </w:r>
          </w:p>
        </w:tc>
        <w:tc>
          <w:tcPr>
            <w:tcW w:w="300" w:type="pct"/>
            <w:tcBorders>
              <w:top w:val="nil"/>
              <w:left w:val="nil"/>
              <w:bottom w:val="nil"/>
              <w:right w:val="nil"/>
            </w:tcBorders>
            <w:shd w:val="clear" w:color="auto" w:fill="auto"/>
            <w:noWrap/>
            <w:vAlign w:val="center"/>
            <w:hideMark/>
          </w:tcPr>
          <w:p w14:paraId="74EC8393" w14:textId="5F8370A0" w:rsidR="00A6781A" w:rsidRPr="00CE777F" w:rsidRDefault="00A6781A" w:rsidP="00A6781A">
            <w:pPr>
              <w:rPr>
                <w:rFonts w:eastAsia="Times New Roman"/>
                <w:color w:val="000000"/>
                <w:sz w:val="20"/>
                <w:szCs w:val="20"/>
              </w:rPr>
            </w:pPr>
            <w:r>
              <w:rPr>
                <w:color w:val="000000"/>
                <w:sz w:val="20"/>
                <w:szCs w:val="20"/>
              </w:rPr>
              <w:t>various</w:t>
            </w:r>
          </w:p>
        </w:tc>
        <w:tc>
          <w:tcPr>
            <w:tcW w:w="650" w:type="pct"/>
            <w:tcBorders>
              <w:top w:val="nil"/>
              <w:left w:val="nil"/>
              <w:bottom w:val="nil"/>
              <w:right w:val="nil"/>
            </w:tcBorders>
            <w:shd w:val="clear" w:color="auto" w:fill="auto"/>
            <w:noWrap/>
            <w:vAlign w:val="center"/>
            <w:hideMark/>
          </w:tcPr>
          <w:p w14:paraId="3080A7AC" w14:textId="0B003BC8" w:rsidR="00A6781A" w:rsidRPr="00CE777F" w:rsidRDefault="00A6781A" w:rsidP="00A6781A">
            <w:pPr>
              <w:rPr>
                <w:rFonts w:eastAsia="Times New Roman"/>
                <w:color w:val="000000"/>
                <w:sz w:val="20"/>
                <w:szCs w:val="20"/>
              </w:rPr>
            </w:pPr>
            <w:r>
              <w:rPr>
                <w:color w:val="000000"/>
                <w:sz w:val="20"/>
                <w:szCs w:val="20"/>
              </w:rPr>
              <w:t>Manufacturing relocation</w:t>
            </w:r>
          </w:p>
        </w:tc>
        <w:tc>
          <w:tcPr>
            <w:tcW w:w="2715" w:type="pct"/>
            <w:tcBorders>
              <w:top w:val="nil"/>
              <w:left w:val="nil"/>
              <w:bottom w:val="nil"/>
              <w:right w:val="nil"/>
            </w:tcBorders>
            <w:shd w:val="clear" w:color="auto" w:fill="auto"/>
            <w:noWrap/>
            <w:vAlign w:val="bottom"/>
            <w:hideMark/>
          </w:tcPr>
          <w:p w14:paraId="52AD4255" w14:textId="208793AB" w:rsidR="00A6781A" w:rsidRPr="00CE777F" w:rsidRDefault="00A6781A" w:rsidP="00A6781A">
            <w:pPr>
              <w:rPr>
                <w:rFonts w:eastAsia="Times New Roman"/>
                <w:color w:val="000000"/>
              </w:rPr>
            </w:pPr>
            <w:r>
              <w:rPr>
                <w:color w:val="000000"/>
                <w:sz w:val="20"/>
                <w:szCs w:val="20"/>
              </w:rPr>
              <w:t>https://finance.yahoo.com/news/glass-eps-manufacturing-hit-november-120000650.html?fr=sycsrp_catchall</w:t>
            </w:r>
          </w:p>
        </w:tc>
        <w:tc>
          <w:tcPr>
            <w:tcW w:w="383" w:type="pct"/>
            <w:tcBorders>
              <w:top w:val="nil"/>
              <w:left w:val="nil"/>
              <w:bottom w:val="nil"/>
              <w:right w:val="nil"/>
            </w:tcBorders>
            <w:shd w:val="clear" w:color="auto" w:fill="auto"/>
            <w:noWrap/>
            <w:vAlign w:val="bottom"/>
            <w:hideMark/>
          </w:tcPr>
          <w:p w14:paraId="5BD69058" w14:textId="7807C97E" w:rsidR="00A6781A" w:rsidRPr="00CE777F" w:rsidRDefault="00A6781A" w:rsidP="00A6781A">
            <w:pPr>
              <w:jc w:val="right"/>
              <w:rPr>
                <w:rFonts w:eastAsia="Times New Roman"/>
                <w:color w:val="000000"/>
              </w:rPr>
            </w:pPr>
            <w:r>
              <w:rPr>
                <w:color w:val="000000"/>
                <w:sz w:val="20"/>
                <w:szCs w:val="20"/>
              </w:rPr>
              <w:t>2024</w:t>
            </w:r>
          </w:p>
        </w:tc>
      </w:tr>
      <w:tr w:rsidR="00A6781A" w:rsidRPr="00CE777F" w14:paraId="59F7C757" w14:textId="77777777" w:rsidTr="00F02E8D">
        <w:trPr>
          <w:trHeight w:val="300"/>
        </w:trPr>
        <w:tc>
          <w:tcPr>
            <w:tcW w:w="536" w:type="pct"/>
            <w:tcBorders>
              <w:top w:val="nil"/>
              <w:left w:val="nil"/>
              <w:bottom w:val="nil"/>
              <w:right w:val="nil"/>
            </w:tcBorders>
            <w:shd w:val="clear" w:color="auto" w:fill="auto"/>
            <w:noWrap/>
            <w:vAlign w:val="center"/>
          </w:tcPr>
          <w:p w14:paraId="440BF3E4" w14:textId="230E34D5" w:rsidR="00A6781A" w:rsidRDefault="00A6781A" w:rsidP="00A6781A">
            <w:pPr>
              <w:rPr>
                <w:color w:val="000000"/>
                <w:sz w:val="20"/>
                <w:szCs w:val="20"/>
              </w:rPr>
            </w:pPr>
            <w:proofErr w:type="spellStart"/>
            <w:r>
              <w:rPr>
                <w:color w:val="000000"/>
                <w:sz w:val="20"/>
                <w:szCs w:val="20"/>
              </w:rPr>
              <w:t>MentalHappy</w:t>
            </w:r>
            <w:proofErr w:type="spellEnd"/>
          </w:p>
        </w:tc>
        <w:tc>
          <w:tcPr>
            <w:tcW w:w="416" w:type="pct"/>
            <w:tcBorders>
              <w:top w:val="nil"/>
              <w:left w:val="nil"/>
              <w:bottom w:val="nil"/>
              <w:right w:val="nil"/>
            </w:tcBorders>
            <w:shd w:val="clear" w:color="auto" w:fill="auto"/>
            <w:noWrap/>
            <w:vAlign w:val="center"/>
          </w:tcPr>
          <w:p w14:paraId="19983E2F" w14:textId="6A2528ED" w:rsidR="00A6781A" w:rsidRDefault="00A6781A" w:rsidP="00A6781A">
            <w:pPr>
              <w:rPr>
                <w:color w:val="000000"/>
                <w:sz w:val="20"/>
                <w:szCs w:val="20"/>
              </w:rPr>
            </w:pPr>
            <w:r>
              <w:rPr>
                <w:color w:val="000000"/>
                <w:sz w:val="20"/>
                <w:szCs w:val="20"/>
              </w:rPr>
              <w:t>San Francisco</w:t>
            </w:r>
          </w:p>
        </w:tc>
        <w:tc>
          <w:tcPr>
            <w:tcW w:w="300" w:type="pct"/>
            <w:tcBorders>
              <w:top w:val="nil"/>
              <w:left w:val="nil"/>
              <w:bottom w:val="nil"/>
              <w:right w:val="nil"/>
            </w:tcBorders>
            <w:shd w:val="clear" w:color="auto" w:fill="auto"/>
            <w:noWrap/>
            <w:vAlign w:val="center"/>
          </w:tcPr>
          <w:p w14:paraId="00964813" w14:textId="47FCF195" w:rsidR="00A6781A" w:rsidRDefault="00A6781A" w:rsidP="00A6781A">
            <w:pPr>
              <w:rPr>
                <w:color w:val="000000"/>
                <w:sz w:val="20"/>
                <w:szCs w:val="20"/>
              </w:rPr>
            </w:pPr>
            <w:r>
              <w:rPr>
                <w:color w:val="000000"/>
                <w:sz w:val="20"/>
                <w:szCs w:val="20"/>
              </w:rPr>
              <w:t>Alabama</w:t>
            </w:r>
          </w:p>
        </w:tc>
        <w:tc>
          <w:tcPr>
            <w:tcW w:w="650" w:type="pct"/>
            <w:tcBorders>
              <w:top w:val="nil"/>
              <w:left w:val="nil"/>
              <w:bottom w:val="nil"/>
              <w:right w:val="nil"/>
            </w:tcBorders>
            <w:shd w:val="clear" w:color="auto" w:fill="auto"/>
            <w:noWrap/>
            <w:vAlign w:val="center"/>
          </w:tcPr>
          <w:p w14:paraId="2057C0D2" w14:textId="42D44644" w:rsidR="00A6781A" w:rsidRDefault="00A6781A" w:rsidP="00A6781A">
            <w:pPr>
              <w:rPr>
                <w:color w:val="000000"/>
                <w:sz w:val="20"/>
                <w:szCs w:val="20"/>
              </w:rPr>
            </w:pPr>
            <w:r>
              <w:rPr>
                <w:color w:val="000000"/>
                <w:sz w:val="20"/>
                <w:szCs w:val="20"/>
              </w:rPr>
              <w:t>HQ relocation</w:t>
            </w:r>
          </w:p>
        </w:tc>
        <w:tc>
          <w:tcPr>
            <w:tcW w:w="2715" w:type="pct"/>
            <w:tcBorders>
              <w:top w:val="nil"/>
              <w:left w:val="nil"/>
              <w:bottom w:val="nil"/>
              <w:right w:val="nil"/>
            </w:tcBorders>
            <w:shd w:val="clear" w:color="auto" w:fill="auto"/>
            <w:noWrap/>
            <w:vAlign w:val="bottom"/>
          </w:tcPr>
          <w:p w14:paraId="618CE971" w14:textId="46F0CE34" w:rsidR="00A6781A" w:rsidRDefault="00A6781A" w:rsidP="00A6781A">
            <w:pPr>
              <w:rPr>
                <w:color w:val="000000"/>
                <w:sz w:val="20"/>
                <w:szCs w:val="20"/>
              </w:rPr>
            </w:pPr>
            <w:r>
              <w:rPr>
                <w:color w:val="000000"/>
                <w:sz w:val="20"/>
                <w:szCs w:val="20"/>
              </w:rPr>
              <w:t>https://www.bizjournals.com/birmingham/news/2024/11/25/mentalhappy-relocated-to-birmingham.html</w:t>
            </w:r>
          </w:p>
        </w:tc>
        <w:tc>
          <w:tcPr>
            <w:tcW w:w="383" w:type="pct"/>
            <w:tcBorders>
              <w:top w:val="nil"/>
              <w:left w:val="nil"/>
              <w:bottom w:val="nil"/>
              <w:right w:val="nil"/>
            </w:tcBorders>
            <w:shd w:val="clear" w:color="auto" w:fill="auto"/>
            <w:noWrap/>
            <w:vAlign w:val="bottom"/>
          </w:tcPr>
          <w:p w14:paraId="75E47F62" w14:textId="30EE552C" w:rsidR="00A6781A" w:rsidRDefault="00A6781A" w:rsidP="00A6781A">
            <w:pPr>
              <w:jc w:val="right"/>
              <w:rPr>
                <w:color w:val="000000"/>
                <w:sz w:val="20"/>
                <w:szCs w:val="20"/>
              </w:rPr>
            </w:pPr>
            <w:r>
              <w:rPr>
                <w:color w:val="000000"/>
                <w:sz w:val="20"/>
                <w:szCs w:val="20"/>
              </w:rPr>
              <w:t>2024</w:t>
            </w:r>
          </w:p>
        </w:tc>
      </w:tr>
      <w:tr w:rsidR="00A6781A" w:rsidRPr="00CE777F" w14:paraId="35D4FD98" w14:textId="77777777" w:rsidTr="00F02E8D">
        <w:trPr>
          <w:trHeight w:val="300"/>
        </w:trPr>
        <w:tc>
          <w:tcPr>
            <w:tcW w:w="536" w:type="pct"/>
            <w:tcBorders>
              <w:top w:val="nil"/>
              <w:left w:val="nil"/>
              <w:bottom w:val="nil"/>
              <w:right w:val="nil"/>
            </w:tcBorders>
            <w:shd w:val="clear" w:color="auto" w:fill="auto"/>
            <w:noWrap/>
            <w:vAlign w:val="center"/>
          </w:tcPr>
          <w:p w14:paraId="11A72E73" w14:textId="1EFB394B" w:rsidR="00A6781A" w:rsidRDefault="00A6781A" w:rsidP="00A6781A">
            <w:pPr>
              <w:rPr>
                <w:color w:val="000000"/>
                <w:sz w:val="20"/>
                <w:szCs w:val="20"/>
              </w:rPr>
            </w:pPr>
            <w:proofErr w:type="spellStart"/>
            <w:r>
              <w:rPr>
                <w:color w:val="000000"/>
                <w:sz w:val="20"/>
                <w:szCs w:val="20"/>
              </w:rPr>
              <w:t>Xinquan</w:t>
            </w:r>
            <w:proofErr w:type="spellEnd"/>
          </w:p>
        </w:tc>
        <w:tc>
          <w:tcPr>
            <w:tcW w:w="416" w:type="pct"/>
            <w:tcBorders>
              <w:top w:val="nil"/>
              <w:left w:val="nil"/>
              <w:bottom w:val="nil"/>
              <w:right w:val="nil"/>
            </w:tcBorders>
            <w:shd w:val="clear" w:color="auto" w:fill="auto"/>
            <w:noWrap/>
            <w:vAlign w:val="center"/>
          </w:tcPr>
          <w:p w14:paraId="55AD9D16" w14:textId="548D3358" w:rsidR="00A6781A" w:rsidRDefault="00A6781A" w:rsidP="00A6781A">
            <w:pPr>
              <w:rPr>
                <w:color w:val="000000"/>
                <w:sz w:val="20"/>
                <w:szCs w:val="20"/>
              </w:rPr>
            </w:pPr>
            <w:r>
              <w:rPr>
                <w:color w:val="000000"/>
                <w:sz w:val="20"/>
                <w:szCs w:val="20"/>
              </w:rPr>
              <w:t>Fremont</w:t>
            </w:r>
          </w:p>
        </w:tc>
        <w:tc>
          <w:tcPr>
            <w:tcW w:w="300" w:type="pct"/>
            <w:tcBorders>
              <w:top w:val="nil"/>
              <w:left w:val="nil"/>
              <w:bottom w:val="nil"/>
              <w:right w:val="nil"/>
            </w:tcBorders>
            <w:shd w:val="clear" w:color="auto" w:fill="auto"/>
            <w:noWrap/>
            <w:vAlign w:val="center"/>
          </w:tcPr>
          <w:p w14:paraId="00702E63" w14:textId="7EE5AD98" w:rsidR="00A6781A" w:rsidRDefault="00A6781A" w:rsidP="00A6781A">
            <w:pPr>
              <w:rPr>
                <w:color w:val="000000"/>
                <w:sz w:val="20"/>
                <w:szCs w:val="20"/>
              </w:rPr>
            </w:pPr>
            <w:r>
              <w:rPr>
                <w:color w:val="000000"/>
                <w:sz w:val="20"/>
                <w:szCs w:val="20"/>
              </w:rPr>
              <w:t>Texas</w:t>
            </w:r>
          </w:p>
        </w:tc>
        <w:tc>
          <w:tcPr>
            <w:tcW w:w="650" w:type="pct"/>
            <w:tcBorders>
              <w:top w:val="nil"/>
              <w:left w:val="nil"/>
              <w:bottom w:val="nil"/>
              <w:right w:val="nil"/>
            </w:tcBorders>
            <w:shd w:val="clear" w:color="auto" w:fill="auto"/>
            <w:noWrap/>
            <w:vAlign w:val="center"/>
          </w:tcPr>
          <w:p w14:paraId="6AB033D3" w14:textId="0A417D2E" w:rsidR="00A6781A" w:rsidRDefault="00A6781A" w:rsidP="00A6781A">
            <w:pPr>
              <w:rPr>
                <w:color w:val="000000"/>
                <w:sz w:val="20"/>
                <w:szCs w:val="20"/>
              </w:rPr>
            </w:pPr>
            <w:r>
              <w:rPr>
                <w:color w:val="000000"/>
                <w:sz w:val="20"/>
                <w:szCs w:val="20"/>
              </w:rPr>
              <w:t>Expansion</w:t>
            </w:r>
          </w:p>
        </w:tc>
        <w:tc>
          <w:tcPr>
            <w:tcW w:w="2715" w:type="pct"/>
            <w:tcBorders>
              <w:top w:val="nil"/>
              <w:left w:val="nil"/>
              <w:bottom w:val="nil"/>
              <w:right w:val="nil"/>
            </w:tcBorders>
            <w:shd w:val="clear" w:color="auto" w:fill="auto"/>
            <w:noWrap/>
            <w:vAlign w:val="bottom"/>
          </w:tcPr>
          <w:p w14:paraId="04C117C6" w14:textId="0117DB67" w:rsidR="00A6781A" w:rsidRDefault="00A6781A" w:rsidP="00A6781A">
            <w:pPr>
              <w:rPr>
                <w:color w:val="000000"/>
                <w:sz w:val="20"/>
                <w:szCs w:val="20"/>
              </w:rPr>
            </w:pPr>
            <w:r>
              <w:rPr>
                <w:color w:val="000000"/>
                <w:sz w:val="20"/>
                <w:szCs w:val="20"/>
              </w:rPr>
              <w:t>https://www.bizjournals.com/austin/news/2024/11/25/tesla-xinquan-automotive-trim-mustang-ridge-austin.html</w:t>
            </w:r>
          </w:p>
        </w:tc>
        <w:tc>
          <w:tcPr>
            <w:tcW w:w="383" w:type="pct"/>
            <w:tcBorders>
              <w:top w:val="nil"/>
              <w:left w:val="nil"/>
              <w:bottom w:val="nil"/>
              <w:right w:val="nil"/>
            </w:tcBorders>
            <w:shd w:val="clear" w:color="auto" w:fill="auto"/>
            <w:noWrap/>
            <w:vAlign w:val="bottom"/>
          </w:tcPr>
          <w:p w14:paraId="7EB9B801" w14:textId="7CE0A6C0" w:rsidR="00A6781A" w:rsidRDefault="00A6781A" w:rsidP="00A6781A">
            <w:pPr>
              <w:jc w:val="right"/>
              <w:rPr>
                <w:color w:val="000000"/>
                <w:sz w:val="20"/>
                <w:szCs w:val="20"/>
              </w:rPr>
            </w:pPr>
            <w:r>
              <w:rPr>
                <w:color w:val="000000"/>
                <w:sz w:val="20"/>
                <w:szCs w:val="20"/>
              </w:rPr>
              <w:t>2024</w:t>
            </w:r>
          </w:p>
        </w:tc>
      </w:tr>
    </w:tbl>
    <w:p w14:paraId="53CB9409" w14:textId="77777777" w:rsidR="00CF42EE" w:rsidRPr="0049345C" w:rsidRDefault="00CF42EE" w:rsidP="00CF42EE">
      <w:pPr>
        <w:pStyle w:val="ListParagraph"/>
      </w:pPr>
    </w:p>
    <w:p w14:paraId="7506A0BC" w14:textId="77777777" w:rsidR="00361B9B" w:rsidRDefault="00361B9B" w:rsidP="00361B9B">
      <w:pPr>
        <w:pStyle w:val="BodyText"/>
        <w:rPr>
          <w:b/>
          <w:sz w:val="20"/>
        </w:rPr>
      </w:pPr>
      <w:r>
        <w:rPr>
          <w:b/>
          <w:sz w:val="20"/>
        </w:rPr>
        <w:t>California GDP</w:t>
      </w:r>
    </w:p>
    <w:p w14:paraId="1A51448F" w14:textId="77777777" w:rsidR="00361B9B" w:rsidRDefault="00361B9B" w:rsidP="00361B9B">
      <w:pPr>
        <w:pStyle w:val="BodyText"/>
        <w:rPr>
          <w:b/>
          <w:sz w:val="20"/>
        </w:rPr>
      </w:pPr>
    </w:p>
    <w:p w14:paraId="3ABFE9F5" w14:textId="77777777" w:rsidR="00361B9B" w:rsidRPr="004F24B0" w:rsidRDefault="00361B9B" w:rsidP="00361B9B">
      <w:pPr>
        <w:pStyle w:val="BodyText"/>
        <w:rPr>
          <w:bCs/>
          <w:sz w:val="20"/>
        </w:rPr>
      </w:pPr>
      <w:r w:rsidRPr="004F24B0">
        <w:rPr>
          <w:bCs/>
          <w:sz w:val="20"/>
        </w:rPr>
        <w:t xml:space="preserve">Include </w:t>
      </w:r>
      <w:proofErr w:type="spellStart"/>
      <w:r w:rsidRPr="004F24B0">
        <w:rPr>
          <w:bCs/>
          <w:sz w:val="20"/>
        </w:rPr>
        <w:t>rpp</w:t>
      </w:r>
      <w:proofErr w:type="spellEnd"/>
    </w:p>
    <w:p w14:paraId="6F7F24D5" w14:textId="77777777" w:rsidR="00361B9B" w:rsidRDefault="00361B9B" w:rsidP="00361B9B">
      <w:pPr>
        <w:pStyle w:val="BodyText"/>
        <w:rPr>
          <w:b/>
          <w:sz w:val="20"/>
        </w:rPr>
      </w:pPr>
    </w:p>
    <w:p w14:paraId="7BB4EE7F" w14:textId="77777777" w:rsidR="00361B9B" w:rsidRDefault="00361B9B" w:rsidP="00361B9B">
      <w:pPr>
        <w:pStyle w:val="BodyText"/>
        <w:rPr>
          <w:b/>
          <w:sz w:val="20"/>
        </w:rPr>
      </w:pPr>
      <w:r>
        <w:rPr>
          <w:b/>
          <w:sz w:val="20"/>
        </w:rPr>
        <w:t>County GDP Growth Rebounds in 2023 but at Subdued Levels</w:t>
      </w:r>
    </w:p>
    <w:p w14:paraId="672E665C" w14:textId="77777777" w:rsidR="00361B9B" w:rsidRDefault="00361B9B" w:rsidP="00361B9B">
      <w:pPr>
        <w:pStyle w:val="BodyText"/>
        <w:rPr>
          <w:b/>
          <w:sz w:val="20"/>
        </w:rPr>
      </w:pPr>
    </w:p>
    <w:p w14:paraId="7A19CABC" w14:textId="77777777" w:rsidR="00361B9B" w:rsidRDefault="00361B9B" w:rsidP="00361B9B">
      <w:pPr>
        <w:pStyle w:val="BodyText"/>
        <w:rPr>
          <w:bCs/>
          <w:sz w:val="20"/>
        </w:rPr>
      </w:pPr>
      <w:r>
        <w:rPr>
          <w:bCs/>
          <w:sz w:val="20"/>
        </w:rPr>
        <w:t>Real GDP growth in 2023 showed expansion from the 2022 levels in 6 out of the 10 regions.  Growth was strongest in the smaller primarily rural regions, while the Bay Area—the dominant factor in the state’s overall GDP growth and its budget condition—grew by only 3.3%.  Among the other larger urban areas, Los Angeles was far weaker at 1.0%, with San Diego/Imperial at 1.9%, Inland Empire at 1.1%, Orange County at only 0.5%, Sacramento at 2.2%, and Central Valley at 2.5%.  Note that Real GDP is calculated separately for each county.  The numbers in the chart reflect aggregations for the constituent counties rather than separate estimates for each region.</w:t>
      </w:r>
    </w:p>
    <w:p w14:paraId="4A837D0A" w14:textId="77777777" w:rsidR="00361B9B" w:rsidRDefault="00361B9B" w:rsidP="00361B9B">
      <w:pPr>
        <w:pStyle w:val="BodyText"/>
        <w:rPr>
          <w:bCs/>
          <w:sz w:val="20"/>
        </w:rPr>
      </w:pPr>
    </w:p>
    <w:p w14:paraId="3160D475" w14:textId="77777777" w:rsidR="00361B9B" w:rsidRDefault="00361B9B" w:rsidP="00361B9B">
      <w:pPr>
        <w:pStyle w:val="BodyText"/>
        <w:jc w:val="center"/>
        <w:rPr>
          <w:bCs/>
          <w:sz w:val="20"/>
        </w:rPr>
      </w:pPr>
      <w:r>
        <w:rPr>
          <w:bCs/>
          <w:noProof/>
          <w:sz w:val="20"/>
        </w:rPr>
        <w:lastRenderedPageBreak/>
        <w:drawing>
          <wp:inline distT="0" distB="0" distL="0" distR="0" wp14:anchorId="6AC34E97" wp14:editId="61AAD8A3">
            <wp:extent cx="4368072" cy="2662925"/>
            <wp:effectExtent l="0" t="0" r="0" b="4445"/>
            <wp:docPr id="19461883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4417" cy="2672889"/>
                    </a:xfrm>
                    <a:prstGeom prst="rect">
                      <a:avLst/>
                    </a:prstGeom>
                    <a:noFill/>
                  </pic:spPr>
                </pic:pic>
              </a:graphicData>
            </a:graphic>
          </wp:inline>
        </w:drawing>
      </w:r>
    </w:p>
    <w:p w14:paraId="78FBAB0A" w14:textId="77777777" w:rsidR="00361B9B" w:rsidRDefault="00361B9B" w:rsidP="00CF42EE">
      <w:pPr>
        <w:rPr>
          <w:b/>
          <w:bCs/>
        </w:rPr>
      </w:pPr>
    </w:p>
    <w:p w14:paraId="43FAF336" w14:textId="7245C0A0" w:rsidR="00CF42EE" w:rsidRDefault="00CF42EE" w:rsidP="00CF42EE">
      <w:pPr>
        <w:rPr>
          <w:b/>
          <w:bCs/>
        </w:rPr>
      </w:pPr>
      <w:r>
        <w:rPr>
          <w:b/>
          <w:bCs/>
        </w:rPr>
        <w:t xml:space="preserve">State UI Fund Debt </w:t>
      </w:r>
      <w:r w:rsidR="00A6781A">
        <w:rPr>
          <w:b/>
          <w:bCs/>
        </w:rPr>
        <w:t>Nears</w:t>
      </w:r>
      <w:r>
        <w:rPr>
          <w:b/>
          <w:bCs/>
        </w:rPr>
        <w:t xml:space="preserve"> $2</w:t>
      </w:r>
      <w:r w:rsidR="00A6781A">
        <w:rPr>
          <w:b/>
          <w:bCs/>
        </w:rPr>
        <w:t>1</w:t>
      </w:r>
      <w:r>
        <w:rPr>
          <w:b/>
          <w:bCs/>
        </w:rPr>
        <w:t xml:space="preserve"> Billion</w:t>
      </w:r>
    </w:p>
    <w:p w14:paraId="0D514592" w14:textId="77777777" w:rsidR="00CF42EE" w:rsidRDefault="00CF42EE" w:rsidP="00CF42EE"/>
    <w:p w14:paraId="01E6BB8C" w14:textId="71EB22FB" w:rsidR="00CF42EE" w:rsidRDefault="00CF42EE" w:rsidP="00CF42EE">
      <w:r>
        <w:t xml:space="preserve">The state’s continuing failure to address its burgeoning Unemployment Insurance debt saw the level </w:t>
      </w:r>
      <w:r w:rsidR="00A6781A">
        <w:t>near $21</w:t>
      </w:r>
      <w:r>
        <w:t xml:space="preserve"> billion.  Current projections remain unknown as EDD has yet to release their October 2024 Unemployment Fund Forecast.</w:t>
      </w:r>
    </w:p>
    <w:p w14:paraId="0BB5A49B" w14:textId="77777777" w:rsidR="00CF42EE" w:rsidRDefault="00CF42EE" w:rsidP="00CF42EE"/>
    <w:p w14:paraId="5278915F" w14:textId="77777777" w:rsidR="00CF42EE" w:rsidRDefault="00CF42EE" w:rsidP="00CF42EE">
      <w:r>
        <w:t>All other states other than New York have paid off their pandemic period debt, in large part using the federal funds provided for that purpose.  California instead chose to use those funds on other expenditures.</w:t>
      </w:r>
    </w:p>
    <w:p w14:paraId="766DC9C8" w14:textId="77777777" w:rsidR="00CF42EE" w:rsidRDefault="00CF42EE" w:rsidP="00CF42EE"/>
    <w:p w14:paraId="6CE2FE3B" w14:textId="731693C7" w:rsidR="00CF42EE" w:rsidRDefault="00CC7075" w:rsidP="00CF42EE">
      <w:pPr>
        <w:jc w:val="center"/>
      </w:pPr>
      <w:r>
        <w:rPr>
          <w:noProof/>
        </w:rPr>
        <w:drawing>
          <wp:inline distT="0" distB="0" distL="0" distR="0" wp14:anchorId="15523AFE" wp14:editId="46D1D7DE">
            <wp:extent cx="4455390" cy="2574233"/>
            <wp:effectExtent l="0" t="0" r="2540" b="0"/>
            <wp:docPr id="10293006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74519" cy="2585285"/>
                    </a:xfrm>
                    <a:prstGeom prst="rect">
                      <a:avLst/>
                    </a:prstGeom>
                    <a:noFill/>
                  </pic:spPr>
                </pic:pic>
              </a:graphicData>
            </a:graphic>
          </wp:inline>
        </w:drawing>
      </w:r>
    </w:p>
    <w:p w14:paraId="5B4011F2" w14:textId="77777777" w:rsidR="00CF42EE" w:rsidRDefault="00CF42EE" w:rsidP="00CF42EE"/>
    <w:p w14:paraId="43FD5C23" w14:textId="7B5349AB" w:rsidR="00CF42EE" w:rsidRDefault="00CF42EE" w:rsidP="00CF42EE">
      <w:r>
        <w:t xml:space="preserve">Measured on a 4-week moving average basis, the number of initial claims continues to rise but largely in tune with the trend from 2023.  </w:t>
      </w:r>
    </w:p>
    <w:p w14:paraId="69C481C7" w14:textId="77777777" w:rsidR="00CF42EE" w:rsidRDefault="00CF42EE" w:rsidP="00CF42EE"/>
    <w:p w14:paraId="32B3B20B" w14:textId="216673FB" w:rsidR="00CF42EE" w:rsidRPr="00636485" w:rsidRDefault="00CC7075" w:rsidP="00CF42EE">
      <w:pPr>
        <w:jc w:val="center"/>
      </w:pPr>
      <w:r>
        <w:rPr>
          <w:noProof/>
        </w:rPr>
        <w:lastRenderedPageBreak/>
        <w:drawing>
          <wp:inline distT="0" distB="0" distL="0" distR="0" wp14:anchorId="7B8E7931" wp14:editId="1BC81759">
            <wp:extent cx="4454081" cy="3005243"/>
            <wp:effectExtent l="0" t="0" r="3810" b="5080"/>
            <wp:docPr id="14220714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2887" cy="3011185"/>
                    </a:xfrm>
                    <a:prstGeom prst="rect">
                      <a:avLst/>
                    </a:prstGeom>
                    <a:noFill/>
                  </pic:spPr>
                </pic:pic>
              </a:graphicData>
            </a:graphic>
          </wp:inline>
        </w:drawing>
      </w:r>
    </w:p>
    <w:p w14:paraId="32C2286A" w14:textId="77777777" w:rsidR="00CF42EE" w:rsidRPr="00ED2D45" w:rsidRDefault="00CF42EE" w:rsidP="00CF42EE"/>
    <w:p w14:paraId="5D952ADF" w14:textId="7287DC34" w:rsidR="00CF42EE" w:rsidRDefault="00CF42EE" w:rsidP="00CF42EE">
      <w:r>
        <w:t xml:space="preserve">The number of workers receiving unemployment—as measured by insured unemployed (a proxy for continuing claims)—is now tracking </w:t>
      </w:r>
      <w:r w:rsidR="00CC7075">
        <w:t>somewhat above</w:t>
      </w:r>
      <w:r>
        <w:t xml:space="preserve"> the 2023 levels, and also remains substantially above the levels in 2022.</w:t>
      </w:r>
    </w:p>
    <w:p w14:paraId="3E9A87FA" w14:textId="77777777" w:rsidR="00CF42EE" w:rsidRDefault="00CF42EE" w:rsidP="00CF42EE"/>
    <w:p w14:paraId="495F48ED" w14:textId="57CCF5DA" w:rsidR="00CF42EE" w:rsidRDefault="00CC7075" w:rsidP="00CF42EE">
      <w:pPr>
        <w:jc w:val="center"/>
      </w:pPr>
      <w:r>
        <w:rPr>
          <w:noProof/>
        </w:rPr>
        <w:drawing>
          <wp:inline distT="0" distB="0" distL="0" distR="0" wp14:anchorId="00BA801B" wp14:editId="3B9ED0C0">
            <wp:extent cx="4381259" cy="2953067"/>
            <wp:effectExtent l="0" t="0" r="635" b="0"/>
            <wp:docPr id="2078560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91088" cy="2959692"/>
                    </a:xfrm>
                    <a:prstGeom prst="rect">
                      <a:avLst/>
                    </a:prstGeom>
                    <a:noFill/>
                  </pic:spPr>
                </pic:pic>
              </a:graphicData>
            </a:graphic>
          </wp:inline>
        </w:drawing>
      </w:r>
    </w:p>
    <w:p w14:paraId="677D9465" w14:textId="77777777" w:rsidR="00CF42EE" w:rsidRDefault="00CF42EE" w:rsidP="00CF42EE"/>
    <w:p w14:paraId="57B2E0E6" w14:textId="35EC7C50" w:rsidR="00CF42EE" w:rsidRDefault="00CC7075" w:rsidP="00CF42EE">
      <w:r>
        <w:t xml:space="preserve">A recent </w:t>
      </w:r>
      <w:hyperlink r:id="rId28" w:history="1">
        <w:r w:rsidRPr="007D0674">
          <w:rPr>
            <w:rStyle w:val="Hyperlink"/>
          </w:rPr>
          <w:t>report</w:t>
        </w:r>
      </w:hyperlink>
      <w:r>
        <w:t xml:space="preserve"> by Legislative Analysts’ Office </w:t>
      </w:r>
      <w:r w:rsidR="007D0674">
        <w:t xml:space="preserve">brings a needed focus to the fact that the state’s critical unemployment insurance program is functionally bankrupt.  </w:t>
      </w:r>
      <w:r w:rsidR="00361B9B">
        <w:t>T</w:t>
      </w:r>
      <w:r w:rsidR="007D0674">
        <w:t>hat report</w:t>
      </w:r>
      <w:r w:rsidR="00361B9B">
        <w:t>, however,</w:t>
      </w:r>
      <w:r w:rsidR="007D0674">
        <w:t xml:space="preserve"> focuses on the revenue side of the program</w:t>
      </w:r>
      <w:r w:rsidR="00361B9B">
        <w:t>.  M</w:t>
      </w:r>
      <w:r w:rsidR="007D0674">
        <w:t>issing from th</w:t>
      </w:r>
      <w:r w:rsidR="00361B9B">
        <w:t>e</w:t>
      </w:r>
      <w:r w:rsidR="007D0674">
        <w:t xml:space="preserve"> analysis is the degree to which costs have driven the finances to the point that recovery is now questionable.  The administration of the program has resulted in one of the most generous payout levels in the nation.  While some of this situation is due to the state’s higher unemployment levels, a significant portion also relates to differences in how benefits are assessed and issued.  </w:t>
      </w:r>
      <w:r w:rsidR="006B3BF3">
        <w:t>While California contains 11.8% of all wage and salary jobs (2023)</w:t>
      </w:r>
      <w:r w:rsidR="00CF42EE">
        <w:t xml:space="preserve">, insured unemployment </w:t>
      </w:r>
      <w:r w:rsidR="006B3BF3">
        <w:t xml:space="preserve">covered </w:t>
      </w:r>
      <w:r w:rsidR="00CF42EE">
        <w:t>2</w:t>
      </w:r>
      <w:r w:rsidR="006B3BF3">
        <w:t>4</w:t>
      </w:r>
      <w:r w:rsidR="00CF42EE">
        <w:t xml:space="preserve">.2% of the national total in the latest results (4 week moving average), while initial claims were at </w:t>
      </w:r>
      <w:r w:rsidR="006B3BF3">
        <w:t>18.3</w:t>
      </w:r>
      <w:r w:rsidR="00CF42EE">
        <w:t>%.</w:t>
      </w:r>
      <w:r w:rsidR="006B3BF3">
        <w:t xml:space="preserve">  In the latest </w:t>
      </w:r>
      <w:r w:rsidR="006B3BF3">
        <w:lastRenderedPageBreak/>
        <w:t>2023 data from US Bureau of Economic Analysis, 19.6% of all state unemployment insurance compensation nationwide was paid out by the California program.</w:t>
      </w:r>
    </w:p>
    <w:p w14:paraId="046ABB37" w14:textId="77777777" w:rsidR="00CF42EE" w:rsidRDefault="00CF42EE" w:rsidP="00CF42EE"/>
    <w:p w14:paraId="0D9CD06D" w14:textId="13D2BEC0" w:rsidR="00CF42EE" w:rsidRDefault="00CC7075" w:rsidP="00CF42EE">
      <w:pPr>
        <w:jc w:val="center"/>
      </w:pPr>
      <w:r>
        <w:rPr>
          <w:noProof/>
        </w:rPr>
        <w:drawing>
          <wp:inline distT="0" distB="0" distL="0" distR="0" wp14:anchorId="5AD61405" wp14:editId="1D48877D">
            <wp:extent cx="4439024" cy="2858290"/>
            <wp:effectExtent l="0" t="0" r="0" b="0"/>
            <wp:docPr id="18523103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52184" cy="2866764"/>
                    </a:xfrm>
                    <a:prstGeom prst="rect">
                      <a:avLst/>
                    </a:prstGeom>
                    <a:noFill/>
                  </pic:spPr>
                </pic:pic>
              </a:graphicData>
            </a:graphic>
          </wp:inline>
        </w:drawing>
      </w:r>
    </w:p>
    <w:p w14:paraId="3FEB6551" w14:textId="77777777" w:rsidR="00CF42EE" w:rsidRDefault="00CF42EE" w:rsidP="00CF42EE">
      <w:pPr>
        <w:pStyle w:val="BodyText"/>
        <w:rPr>
          <w:b/>
          <w:sz w:val="20"/>
        </w:rPr>
      </w:pPr>
    </w:p>
    <w:p w14:paraId="47EAF1A9" w14:textId="161BDA2A" w:rsidR="00361B9B" w:rsidRDefault="0084301E" w:rsidP="0084301E">
      <w:pPr>
        <w:pStyle w:val="BodyText"/>
        <w:rPr>
          <w:b/>
          <w:sz w:val="20"/>
        </w:rPr>
      </w:pPr>
      <w:r>
        <w:rPr>
          <w:b/>
          <w:sz w:val="20"/>
        </w:rPr>
        <w:t xml:space="preserve">California Real GDP Grows </w:t>
      </w:r>
      <w:r w:rsidR="00CA7642">
        <w:rPr>
          <w:b/>
          <w:sz w:val="20"/>
        </w:rPr>
        <w:t>3.1% in the 3</w:t>
      </w:r>
      <w:r w:rsidR="00CA7642" w:rsidRPr="00CA7642">
        <w:rPr>
          <w:b/>
          <w:sz w:val="20"/>
          <w:vertAlign w:val="superscript"/>
        </w:rPr>
        <w:t>rd</w:t>
      </w:r>
      <w:r w:rsidR="00CA7642">
        <w:rPr>
          <w:b/>
          <w:sz w:val="20"/>
        </w:rPr>
        <w:t xml:space="preserve"> Quarter</w:t>
      </w:r>
    </w:p>
    <w:p w14:paraId="57C6A91C" w14:textId="77777777" w:rsidR="00CA7642" w:rsidRDefault="00CA7642" w:rsidP="0084301E">
      <w:pPr>
        <w:pStyle w:val="BodyText"/>
        <w:rPr>
          <w:b/>
          <w:sz w:val="20"/>
        </w:rPr>
      </w:pPr>
    </w:p>
    <w:p w14:paraId="33C760CE" w14:textId="3AB73DAC" w:rsidR="00CA7642" w:rsidRDefault="00CA7642" w:rsidP="0084301E">
      <w:pPr>
        <w:pStyle w:val="BodyText"/>
        <w:rPr>
          <w:bCs/>
          <w:sz w:val="20"/>
        </w:rPr>
      </w:pPr>
      <w:r>
        <w:rPr>
          <w:bCs/>
          <w:sz w:val="20"/>
        </w:rPr>
        <w:t>US Bureau of Economic Analysis data shows California’s real GDP grew at an annualized rate of 3.1% in the 3</w:t>
      </w:r>
      <w:r w:rsidRPr="00CA7642">
        <w:rPr>
          <w:bCs/>
          <w:sz w:val="20"/>
          <w:vertAlign w:val="superscript"/>
        </w:rPr>
        <w:t>rd</w:t>
      </w:r>
      <w:r>
        <w:rPr>
          <w:bCs/>
          <w:sz w:val="20"/>
        </w:rPr>
        <w:t xml:space="preserve"> Quarter, the 23</w:t>
      </w:r>
      <w:r w:rsidRPr="00CA7642">
        <w:rPr>
          <w:bCs/>
          <w:sz w:val="20"/>
          <w:vertAlign w:val="superscript"/>
        </w:rPr>
        <w:t>rd</w:t>
      </w:r>
      <w:r>
        <w:rPr>
          <w:bCs/>
          <w:sz w:val="20"/>
        </w:rPr>
        <w:t xml:space="preserve"> highest among the states but matching the overall national average of 3.1%.  </w:t>
      </w:r>
      <w:r w:rsidR="008F5A2A">
        <w:rPr>
          <w:bCs/>
          <w:sz w:val="20"/>
        </w:rPr>
        <w:t>This performance was higher than the 2.8% from the 2</w:t>
      </w:r>
      <w:r w:rsidR="008F5A2A" w:rsidRPr="008F5A2A">
        <w:rPr>
          <w:bCs/>
          <w:sz w:val="20"/>
          <w:vertAlign w:val="superscript"/>
        </w:rPr>
        <w:t>nd</w:t>
      </w:r>
      <w:r w:rsidR="008F5A2A">
        <w:rPr>
          <w:bCs/>
          <w:sz w:val="20"/>
        </w:rPr>
        <w:t>, but down from 6.3% in the 1</w:t>
      </w:r>
      <w:r w:rsidR="008F5A2A" w:rsidRPr="008F5A2A">
        <w:rPr>
          <w:bCs/>
          <w:sz w:val="20"/>
          <w:vertAlign w:val="superscript"/>
        </w:rPr>
        <w:t>st</w:t>
      </w:r>
      <w:r w:rsidR="008F5A2A">
        <w:rPr>
          <w:bCs/>
          <w:sz w:val="20"/>
        </w:rPr>
        <w:t xml:space="preserve"> Quarter</w:t>
      </w:r>
      <w:r w:rsidR="008F5A2A" w:rsidRPr="008F5A2A">
        <w:rPr>
          <w:bCs/>
          <w:sz w:val="20"/>
        </w:rPr>
        <w:t xml:space="preserve">. </w:t>
      </w:r>
      <w:r w:rsidR="008F5A2A">
        <w:rPr>
          <w:bCs/>
          <w:sz w:val="20"/>
        </w:rPr>
        <w:t xml:space="preserve"> </w:t>
      </w:r>
      <w:r>
        <w:rPr>
          <w:bCs/>
          <w:sz w:val="20"/>
        </w:rPr>
        <w:t>Over the year (2023 Q3 to 2024 Q3), California grew 3.6%, the 9</w:t>
      </w:r>
      <w:r w:rsidRPr="00CA7642">
        <w:rPr>
          <w:bCs/>
          <w:sz w:val="20"/>
          <w:vertAlign w:val="superscript"/>
        </w:rPr>
        <w:t>th</w:t>
      </w:r>
      <w:r>
        <w:rPr>
          <w:bCs/>
          <w:sz w:val="20"/>
        </w:rPr>
        <w:t xml:space="preserve"> highest among the states.</w:t>
      </w:r>
    </w:p>
    <w:p w14:paraId="4297F77E" w14:textId="77777777" w:rsidR="00CA7642" w:rsidRDefault="00CA7642" w:rsidP="0084301E">
      <w:pPr>
        <w:pStyle w:val="BodyText"/>
        <w:rPr>
          <w:bCs/>
          <w:sz w:val="20"/>
        </w:rPr>
      </w:pPr>
    </w:p>
    <w:p w14:paraId="70442941" w14:textId="7ABDE75F" w:rsidR="00CA7642" w:rsidRDefault="00CA7642" w:rsidP="00CA7642">
      <w:pPr>
        <w:pStyle w:val="BodyText"/>
        <w:jc w:val="center"/>
        <w:rPr>
          <w:bCs/>
          <w:sz w:val="20"/>
        </w:rPr>
      </w:pPr>
      <w:r w:rsidRPr="00CA7642">
        <w:rPr>
          <w:noProof/>
        </w:rPr>
        <w:drawing>
          <wp:inline distT="0" distB="0" distL="0" distR="0" wp14:anchorId="62621C79" wp14:editId="25949748">
            <wp:extent cx="4408380" cy="2872167"/>
            <wp:effectExtent l="0" t="0" r="0" b="4445"/>
            <wp:docPr id="455606716"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606716" name="Picture 1" descr="A map of the united states&#10;&#10;Description automatically generated"/>
                    <pic:cNvPicPr/>
                  </pic:nvPicPr>
                  <pic:blipFill>
                    <a:blip r:embed="rId30"/>
                    <a:stretch>
                      <a:fillRect/>
                    </a:stretch>
                  </pic:blipFill>
                  <pic:spPr>
                    <a:xfrm>
                      <a:off x="0" y="0"/>
                      <a:ext cx="4420179" cy="2879854"/>
                    </a:xfrm>
                    <a:prstGeom prst="rect">
                      <a:avLst/>
                    </a:prstGeom>
                  </pic:spPr>
                </pic:pic>
              </a:graphicData>
            </a:graphic>
          </wp:inline>
        </w:drawing>
      </w:r>
    </w:p>
    <w:p w14:paraId="71724EA1" w14:textId="77777777" w:rsidR="00CA7642" w:rsidRDefault="00CA7642" w:rsidP="0084301E">
      <w:pPr>
        <w:pStyle w:val="BodyText"/>
        <w:rPr>
          <w:bCs/>
          <w:sz w:val="20"/>
        </w:rPr>
      </w:pPr>
    </w:p>
    <w:p w14:paraId="26EB5910" w14:textId="508E209A" w:rsidR="00CA7642" w:rsidRDefault="00CA7642" w:rsidP="0084301E">
      <w:pPr>
        <w:pStyle w:val="BodyText"/>
        <w:rPr>
          <w:b/>
          <w:sz w:val="20"/>
        </w:rPr>
      </w:pPr>
      <w:r>
        <w:rPr>
          <w:bCs/>
          <w:sz w:val="20"/>
        </w:rPr>
        <w:t xml:space="preserve"> </w:t>
      </w:r>
      <w:r>
        <w:rPr>
          <w:b/>
          <w:sz w:val="20"/>
        </w:rPr>
        <w:t>California Personal Income Grows 3.6% in the 3</w:t>
      </w:r>
      <w:r w:rsidRPr="00CA7642">
        <w:rPr>
          <w:b/>
          <w:sz w:val="20"/>
          <w:vertAlign w:val="superscript"/>
        </w:rPr>
        <w:t>rd</w:t>
      </w:r>
      <w:r>
        <w:rPr>
          <w:b/>
          <w:sz w:val="20"/>
        </w:rPr>
        <w:t xml:space="preserve"> Quarter</w:t>
      </w:r>
    </w:p>
    <w:p w14:paraId="5D549EE2" w14:textId="77777777" w:rsidR="00CA7642" w:rsidRDefault="00CA7642" w:rsidP="0084301E">
      <w:pPr>
        <w:pStyle w:val="BodyText"/>
        <w:rPr>
          <w:b/>
          <w:sz w:val="20"/>
        </w:rPr>
      </w:pPr>
    </w:p>
    <w:p w14:paraId="5AF37B5E" w14:textId="3A42183B" w:rsidR="00CA7642" w:rsidRDefault="00CA7642" w:rsidP="00CA7642">
      <w:pPr>
        <w:pStyle w:val="BodyText"/>
        <w:rPr>
          <w:bCs/>
          <w:sz w:val="20"/>
        </w:rPr>
      </w:pPr>
      <w:r>
        <w:rPr>
          <w:bCs/>
          <w:sz w:val="20"/>
        </w:rPr>
        <w:t>US Bureau of Economic Analysis data shows California’s Personal income grew at an annualized rate of 3.6% in the 3</w:t>
      </w:r>
      <w:r w:rsidRPr="00CA7642">
        <w:rPr>
          <w:bCs/>
          <w:sz w:val="20"/>
          <w:vertAlign w:val="superscript"/>
        </w:rPr>
        <w:t>rd</w:t>
      </w:r>
      <w:r>
        <w:rPr>
          <w:bCs/>
          <w:sz w:val="20"/>
        </w:rPr>
        <w:t xml:space="preserve"> Quarter, the 13</w:t>
      </w:r>
      <w:r w:rsidRPr="00CA7642">
        <w:rPr>
          <w:bCs/>
          <w:sz w:val="20"/>
          <w:vertAlign w:val="superscript"/>
        </w:rPr>
        <w:t>th</w:t>
      </w:r>
      <w:r>
        <w:rPr>
          <w:bCs/>
          <w:sz w:val="20"/>
        </w:rPr>
        <w:t xml:space="preserve"> highest among the states and above the overall national average of 3.2%.  </w:t>
      </w:r>
      <w:r w:rsidR="008F5A2A">
        <w:rPr>
          <w:bCs/>
          <w:sz w:val="20"/>
        </w:rPr>
        <w:t xml:space="preserve">California’s rate moderated </w:t>
      </w:r>
      <w:r w:rsidR="008F5A2A">
        <w:rPr>
          <w:bCs/>
          <w:sz w:val="20"/>
        </w:rPr>
        <w:lastRenderedPageBreak/>
        <w:t>substantially from 4.2% in the 2</w:t>
      </w:r>
      <w:r w:rsidR="008F5A2A" w:rsidRPr="00CA7642">
        <w:rPr>
          <w:bCs/>
          <w:sz w:val="20"/>
          <w:vertAlign w:val="superscript"/>
        </w:rPr>
        <w:t>nd</w:t>
      </w:r>
      <w:r w:rsidR="008F5A2A">
        <w:rPr>
          <w:bCs/>
          <w:sz w:val="20"/>
        </w:rPr>
        <w:t xml:space="preserve"> Quarter and 14.7% in the 1</w:t>
      </w:r>
      <w:r w:rsidR="008F5A2A" w:rsidRPr="008F5A2A">
        <w:rPr>
          <w:bCs/>
          <w:sz w:val="20"/>
          <w:vertAlign w:val="superscript"/>
        </w:rPr>
        <w:t>st</w:t>
      </w:r>
      <w:r w:rsidR="008F5A2A">
        <w:rPr>
          <w:bCs/>
          <w:sz w:val="20"/>
        </w:rPr>
        <w:t xml:space="preserve"> Quarter.  </w:t>
      </w:r>
      <w:r>
        <w:rPr>
          <w:bCs/>
          <w:sz w:val="20"/>
        </w:rPr>
        <w:t xml:space="preserve">Over the year (2023 Q3 to 2024 Q3), California grew </w:t>
      </w:r>
      <w:r w:rsidR="008F5A2A">
        <w:rPr>
          <w:bCs/>
          <w:sz w:val="20"/>
        </w:rPr>
        <w:t>6.3</w:t>
      </w:r>
      <w:r>
        <w:rPr>
          <w:bCs/>
          <w:sz w:val="20"/>
        </w:rPr>
        <w:t xml:space="preserve">%, the </w:t>
      </w:r>
      <w:r w:rsidR="008F5A2A">
        <w:rPr>
          <w:bCs/>
          <w:sz w:val="20"/>
        </w:rPr>
        <w:t>3</w:t>
      </w:r>
      <w:r w:rsidR="008F5A2A" w:rsidRPr="008F5A2A">
        <w:rPr>
          <w:bCs/>
          <w:sz w:val="20"/>
          <w:vertAlign w:val="superscript"/>
        </w:rPr>
        <w:t>rd</w:t>
      </w:r>
      <w:r w:rsidR="008F5A2A">
        <w:rPr>
          <w:bCs/>
          <w:sz w:val="20"/>
        </w:rPr>
        <w:t xml:space="preserve"> </w:t>
      </w:r>
      <w:r>
        <w:rPr>
          <w:bCs/>
          <w:sz w:val="20"/>
        </w:rPr>
        <w:t xml:space="preserve">highest among the states.  </w:t>
      </w:r>
    </w:p>
    <w:p w14:paraId="0EE79B84" w14:textId="77777777" w:rsidR="00CA7642" w:rsidRDefault="00CA7642" w:rsidP="0084301E">
      <w:pPr>
        <w:pStyle w:val="BodyText"/>
        <w:rPr>
          <w:bCs/>
          <w:sz w:val="20"/>
        </w:rPr>
      </w:pPr>
    </w:p>
    <w:p w14:paraId="547BF6B5" w14:textId="7DABF81D" w:rsidR="008F5A2A" w:rsidRDefault="008F5A2A" w:rsidP="008F5A2A">
      <w:pPr>
        <w:pStyle w:val="BodyText"/>
        <w:jc w:val="center"/>
        <w:rPr>
          <w:bCs/>
          <w:sz w:val="20"/>
        </w:rPr>
      </w:pPr>
      <w:r w:rsidRPr="008F5A2A">
        <w:rPr>
          <w:noProof/>
        </w:rPr>
        <w:drawing>
          <wp:inline distT="0" distB="0" distL="0" distR="0" wp14:anchorId="495A78D4" wp14:editId="4E41B185">
            <wp:extent cx="4402771" cy="2873882"/>
            <wp:effectExtent l="0" t="0" r="0" b="3175"/>
            <wp:docPr id="1970261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261672" name=""/>
                    <pic:cNvPicPr/>
                  </pic:nvPicPr>
                  <pic:blipFill>
                    <a:blip r:embed="rId31"/>
                    <a:stretch>
                      <a:fillRect/>
                    </a:stretch>
                  </pic:blipFill>
                  <pic:spPr>
                    <a:xfrm>
                      <a:off x="0" y="0"/>
                      <a:ext cx="4411453" cy="2879549"/>
                    </a:xfrm>
                    <a:prstGeom prst="rect">
                      <a:avLst/>
                    </a:prstGeom>
                  </pic:spPr>
                </pic:pic>
              </a:graphicData>
            </a:graphic>
          </wp:inline>
        </w:drawing>
      </w:r>
    </w:p>
    <w:p w14:paraId="6AB4ED3C" w14:textId="77777777" w:rsidR="00222DB8" w:rsidRDefault="00222DB8" w:rsidP="008F5A2A">
      <w:pPr>
        <w:pStyle w:val="BodyText"/>
        <w:jc w:val="center"/>
        <w:rPr>
          <w:bCs/>
          <w:sz w:val="20"/>
        </w:rPr>
      </w:pPr>
    </w:p>
    <w:p w14:paraId="6340F29E" w14:textId="75103739" w:rsidR="00222DB8" w:rsidRDefault="00222DB8" w:rsidP="00222DB8">
      <w:pPr>
        <w:pStyle w:val="BodyText"/>
        <w:rPr>
          <w:b/>
          <w:sz w:val="20"/>
        </w:rPr>
      </w:pPr>
      <w:r>
        <w:rPr>
          <w:b/>
          <w:sz w:val="20"/>
        </w:rPr>
        <w:t>California Grows 0.6% in 2024</w:t>
      </w:r>
    </w:p>
    <w:p w14:paraId="105387B4" w14:textId="77777777" w:rsidR="00222DB8" w:rsidRDefault="00222DB8" w:rsidP="00222DB8">
      <w:pPr>
        <w:pStyle w:val="BodyText"/>
        <w:rPr>
          <w:b/>
          <w:sz w:val="20"/>
        </w:rPr>
      </w:pPr>
    </w:p>
    <w:p w14:paraId="13EC13F7" w14:textId="5B5AB389" w:rsidR="00222DB8" w:rsidRDefault="00222DB8" w:rsidP="00222DB8">
      <w:pPr>
        <w:pStyle w:val="BodyText"/>
        <w:rPr>
          <w:bCs/>
          <w:sz w:val="20"/>
        </w:rPr>
      </w:pPr>
      <w:r>
        <w:rPr>
          <w:bCs/>
          <w:sz w:val="20"/>
        </w:rPr>
        <w:t>The US Census Bureau’s population estimates show California growing by 232,600 (0.6%) in 2024, up from 0.1% in 2023.  Total estimated population is 39,431,000.  About half the gain came from natural changes (births over deaths), while the remainder came from a recovery in international migration.</w:t>
      </w:r>
    </w:p>
    <w:p w14:paraId="2A60BF51" w14:textId="77777777" w:rsidR="00222DB8" w:rsidRDefault="00222DB8" w:rsidP="00222DB8">
      <w:pPr>
        <w:pStyle w:val="BodyText"/>
        <w:rPr>
          <w:bCs/>
          <w:sz w:val="20"/>
        </w:rPr>
      </w:pPr>
    </w:p>
    <w:p w14:paraId="5A08A106" w14:textId="62B10119" w:rsidR="00222DB8" w:rsidRDefault="00222DB8" w:rsidP="00222DB8">
      <w:pPr>
        <w:pStyle w:val="BodyText"/>
        <w:rPr>
          <w:bCs/>
          <w:sz w:val="20"/>
        </w:rPr>
      </w:pPr>
      <w:r>
        <w:rPr>
          <w:bCs/>
          <w:sz w:val="20"/>
        </w:rPr>
        <w:t>California continued to show a net outflow from domestic migration, with 239,600 more people leaving the state than moving here.  This level was down somewhat from the 2023 outflow of 344,000.</w:t>
      </w:r>
    </w:p>
    <w:p w14:paraId="54BCBF85" w14:textId="77777777" w:rsidR="00222DB8" w:rsidRDefault="00222DB8" w:rsidP="00222DB8">
      <w:pPr>
        <w:pStyle w:val="BodyText"/>
        <w:rPr>
          <w:bCs/>
          <w:sz w:val="20"/>
        </w:rPr>
      </w:pPr>
    </w:p>
    <w:p w14:paraId="3813D5DB" w14:textId="4BEC672C" w:rsidR="00222DB8" w:rsidRDefault="00590144" w:rsidP="00590144">
      <w:pPr>
        <w:pStyle w:val="BodyText"/>
        <w:jc w:val="center"/>
        <w:rPr>
          <w:bCs/>
          <w:sz w:val="20"/>
        </w:rPr>
      </w:pPr>
      <w:r>
        <w:rPr>
          <w:bCs/>
          <w:noProof/>
          <w:sz w:val="20"/>
        </w:rPr>
        <w:drawing>
          <wp:inline distT="0" distB="0" distL="0" distR="0" wp14:anchorId="0920834F" wp14:editId="3D427F34">
            <wp:extent cx="4438845" cy="2668225"/>
            <wp:effectExtent l="0" t="0" r="0" b="0"/>
            <wp:docPr id="17905448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45586" cy="2672277"/>
                    </a:xfrm>
                    <a:prstGeom prst="rect">
                      <a:avLst/>
                    </a:prstGeom>
                    <a:noFill/>
                  </pic:spPr>
                </pic:pic>
              </a:graphicData>
            </a:graphic>
          </wp:inline>
        </w:drawing>
      </w:r>
    </w:p>
    <w:p w14:paraId="6AD93BC2" w14:textId="77777777" w:rsidR="00222DB8" w:rsidRDefault="00222DB8" w:rsidP="00222DB8">
      <w:pPr>
        <w:pStyle w:val="BodyText"/>
        <w:rPr>
          <w:bCs/>
          <w:sz w:val="20"/>
        </w:rPr>
      </w:pPr>
    </w:p>
    <w:p w14:paraId="01ACE860" w14:textId="3B1ABA19" w:rsidR="00222DB8" w:rsidRPr="00222DB8" w:rsidRDefault="00FB062B" w:rsidP="00222DB8">
      <w:pPr>
        <w:pStyle w:val="BodyText"/>
        <w:rPr>
          <w:bCs/>
          <w:sz w:val="20"/>
        </w:rPr>
      </w:pPr>
      <w:r>
        <w:rPr>
          <w:bCs/>
          <w:sz w:val="20"/>
        </w:rPr>
        <w:t>California’s population growth, however, is slowly substantially as both the resident population and foreign look for better economic opportunities and lower costs of living in other states.  If California continued growing at the 2024 rate, the number of Congressional seats would drop from 52 in the current Congress to around 49 in the next redistricting.  If instead it grew at the somewhat slower rate between 2019 and 2024, the number of seats would drop to around 48.</w:t>
      </w:r>
    </w:p>
    <w:sectPr w:rsidR="00222DB8" w:rsidRPr="00222DB8">
      <w:headerReference w:type="default" r:id="rId33"/>
      <w:footerReference w:type="default" r:id="rId34"/>
      <w:pgSz w:w="12240" w:h="15840"/>
      <w:pgMar w:top="1480" w:right="1060" w:bottom="1200" w:left="1340" w:header="480" w:footer="10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D08245" w14:textId="77777777" w:rsidR="00572CE9" w:rsidRDefault="00572CE9">
      <w:r>
        <w:separator/>
      </w:r>
    </w:p>
  </w:endnote>
  <w:endnote w:type="continuationSeparator" w:id="0">
    <w:p w14:paraId="5ADD637A" w14:textId="77777777" w:rsidR="00572CE9" w:rsidRDefault="00572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218B4" w14:textId="4498BA81" w:rsidR="00454DC4" w:rsidRDefault="00922021">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205ECD74" wp14:editId="48962F13">
              <wp:simplePos x="0" y="0"/>
              <wp:positionH relativeFrom="page">
                <wp:posOffset>6751320</wp:posOffset>
              </wp:positionH>
              <wp:positionV relativeFrom="page">
                <wp:posOffset>9276080</wp:posOffset>
              </wp:positionV>
              <wp:extent cx="160020" cy="16573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C9F8C" w14:textId="77777777" w:rsidR="00454DC4" w:rsidRDefault="00B26975">
                          <w:pPr>
                            <w:pStyle w:val="BodyText"/>
                            <w:spacing w:line="245" w:lineRule="exact"/>
                            <w:ind w:left="60"/>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5ECD74" id="_x0000_t202" coordsize="21600,21600" o:spt="202" path="m,l,21600r21600,l21600,xe">
              <v:stroke joinstyle="miter"/>
              <v:path gradientshapeok="t" o:connecttype="rect"/>
            </v:shapetype>
            <v:shape id="Text Box 3" o:spid="_x0000_s1026" type="#_x0000_t202" style="position:absolute;margin-left:531.6pt;margin-top:730.4pt;width:12.6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" filled="f" stroked="f">
              <v:textbox inset="0,0,0,0">
                <w:txbxContent>
                  <w:p w14:paraId="6FFC9F8C" w14:textId="77777777" w:rsidR="00454DC4" w:rsidRDefault="00B26975">
                    <w:pPr>
                      <w:pStyle w:val="BodyText"/>
                      <w:spacing w:line="245" w:lineRule="exact"/>
                      <w:ind w:left="60"/>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82FB2D" w14:textId="77777777" w:rsidR="00572CE9" w:rsidRDefault="00572CE9">
      <w:r>
        <w:separator/>
      </w:r>
    </w:p>
  </w:footnote>
  <w:footnote w:type="continuationSeparator" w:id="0">
    <w:p w14:paraId="53BE0999" w14:textId="77777777" w:rsidR="00572CE9" w:rsidRDefault="00572C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F1A29" w14:textId="1F289AD1" w:rsidR="00454DC4" w:rsidRDefault="00963E6F">
    <w:pPr>
      <w:pStyle w:val="BodyText"/>
      <w:spacing w:line="14" w:lineRule="auto"/>
      <w:rPr>
        <w:sz w:val="20"/>
      </w:rPr>
    </w:pPr>
    <w:r>
      <w:rPr>
        <w:noProof/>
      </w:rPr>
      <w:drawing>
        <wp:anchor distT="0" distB="0" distL="114300" distR="114300" simplePos="0" relativeHeight="251656192" behindDoc="0" locked="0" layoutInCell="1" allowOverlap="1" wp14:anchorId="655CFDEF" wp14:editId="32162D2A">
          <wp:simplePos x="0" y="0"/>
          <wp:positionH relativeFrom="column">
            <wp:posOffset>-495300</wp:posOffset>
          </wp:positionH>
          <wp:positionV relativeFrom="paragraph">
            <wp:posOffset>-44450</wp:posOffset>
          </wp:positionV>
          <wp:extent cx="2908300" cy="520700"/>
          <wp:effectExtent l="0" t="0" r="0" b="0"/>
          <wp:wrapSquare wrapText="bothSides"/>
          <wp:docPr id="1919884115" name="Picture 1919884115"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8300" cy="520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706567"/>
    <w:multiLevelType w:val="hybridMultilevel"/>
    <w:tmpl w:val="0378613C"/>
    <w:lvl w:ilvl="0" w:tplc="ED929F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51386B"/>
    <w:multiLevelType w:val="hybridMultilevel"/>
    <w:tmpl w:val="89528FAC"/>
    <w:lvl w:ilvl="0" w:tplc="2D96544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74582C18"/>
    <w:multiLevelType w:val="hybridMultilevel"/>
    <w:tmpl w:val="A2924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5294161">
    <w:abstractNumId w:val="2"/>
  </w:num>
  <w:num w:numId="2" w16cid:durableId="820923120">
    <w:abstractNumId w:val="1"/>
  </w:num>
  <w:num w:numId="3" w16cid:durableId="20466338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DC4"/>
    <w:rsid w:val="00001223"/>
    <w:rsid w:val="00001E08"/>
    <w:rsid w:val="00003BD7"/>
    <w:rsid w:val="00006EA4"/>
    <w:rsid w:val="00015177"/>
    <w:rsid w:val="0001579A"/>
    <w:rsid w:val="00030577"/>
    <w:rsid w:val="000326EC"/>
    <w:rsid w:val="00037F89"/>
    <w:rsid w:val="00046DAC"/>
    <w:rsid w:val="00050BA8"/>
    <w:rsid w:val="00056888"/>
    <w:rsid w:val="00066239"/>
    <w:rsid w:val="00071ED9"/>
    <w:rsid w:val="00073C40"/>
    <w:rsid w:val="0007423C"/>
    <w:rsid w:val="000749B2"/>
    <w:rsid w:val="00077665"/>
    <w:rsid w:val="00080C6E"/>
    <w:rsid w:val="00081288"/>
    <w:rsid w:val="000856A1"/>
    <w:rsid w:val="00096351"/>
    <w:rsid w:val="000A269C"/>
    <w:rsid w:val="000A2CD8"/>
    <w:rsid w:val="000A71EF"/>
    <w:rsid w:val="000B31A4"/>
    <w:rsid w:val="000B5E9A"/>
    <w:rsid w:val="000B7088"/>
    <w:rsid w:val="000C08E1"/>
    <w:rsid w:val="000C2F34"/>
    <w:rsid w:val="000C590E"/>
    <w:rsid w:val="000C70BD"/>
    <w:rsid w:val="000D73E3"/>
    <w:rsid w:val="000F1A53"/>
    <w:rsid w:val="001022F3"/>
    <w:rsid w:val="00105166"/>
    <w:rsid w:val="00111CC1"/>
    <w:rsid w:val="001131E5"/>
    <w:rsid w:val="00115D8A"/>
    <w:rsid w:val="00137B7B"/>
    <w:rsid w:val="00140146"/>
    <w:rsid w:val="001529C8"/>
    <w:rsid w:val="001550AA"/>
    <w:rsid w:val="00157E9A"/>
    <w:rsid w:val="00164985"/>
    <w:rsid w:val="001707B8"/>
    <w:rsid w:val="00174554"/>
    <w:rsid w:val="00176459"/>
    <w:rsid w:val="00193A08"/>
    <w:rsid w:val="001973B6"/>
    <w:rsid w:val="001A0BEB"/>
    <w:rsid w:val="001A22FA"/>
    <w:rsid w:val="001A5134"/>
    <w:rsid w:val="001B0991"/>
    <w:rsid w:val="001B22D4"/>
    <w:rsid w:val="001C32B3"/>
    <w:rsid w:val="001C7EE8"/>
    <w:rsid w:val="001D0115"/>
    <w:rsid w:val="001D398A"/>
    <w:rsid w:val="001D679F"/>
    <w:rsid w:val="001E0B43"/>
    <w:rsid w:val="001E1235"/>
    <w:rsid w:val="001E1CE3"/>
    <w:rsid w:val="001E5985"/>
    <w:rsid w:val="001F6578"/>
    <w:rsid w:val="001F79C9"/>
    <w:rsid w:val="002015FD"/>
    <w:rsid w:val="002018CF"/>
    <w:rsid w:val="00214E4C"/>
    <w:rsid w:val="00216A99"/>
    <w:rsid w:val="0022006B"/>
    <w:rsid w:val="002201A3"/>
    <w:rsid w:val="002212FB"/>
    <w:rsid w:val="00222DB8"/>
    <w:rsid w:val="0022799D"/>
    <w:rsid w:val="00230D35"/>
    <w:rsid w:val="00233FB6"/>
    <w:rsid w:val="002422B9"/>
    <w:rsid w:val="002433D0"/>
    <w:rsid w:val="002458B8"/>
    <w:rsid w:val="00260D1D"/>
    <w:rsid w:val="002703E5"/>
    <w:rsid w:val="00271033"/>
    <w:rsid w:val="00275A5A"/>
    <w:rsid w:val="0029701D"/>
    <w:rsid w:val="00297353"/>
    <w:rsid w:val="00297D3E"/>
    <w:rsid w:val="002A1CA8"/>
    <w:rsid w:val="002A6B10"/>
    <w:rsid w:val="002B14F7"/>
    <w:rsid w:val="002B56EF"/>
    <w:rsid w:val="002B69BA"/>
    <w:rsid w:val="002C1252"/>
    <w:rsid w:val="002C2357"/>
    <w:rsid w:val="002C424F"/>
    <w:rsid w:val="002D0147"/>
    <w:rsid w:val="002D1547"/>
    <w:rsid w:val="002D5F99"/>
    <w:rsid w:val="002E2019"/>
    <w:rsid w:val="002E583F"/>
    <w:rsid w:val="002F0438"/>
    <w:rsid w:val="002F16F6"/>
    <w:rsid w:val="002F1E0C"/>
    <w:rsid w:val="002F3EA0"/>
    <w:rsid w:val="002F564B"/>
    <w:rsid w:val="002F6BB1"/>
    <w:rsid w:val="002F7429"/>
    <w:rsid w:val="003022C0"/>
    <w:rsid w:val="00310281"/>
    <w:rsid w:val="0031159F"/>
    <w:rsid w:val="0031204A"/>
    <w:rsid w:val="0031713A"/>
    <w:rsid w:val="0032104A"/>
    <w:rsid w:val="00322C15"/>
    <w:rsid w:val="00325B6D"/>
    <w:rsid w:val="003339F9"/>
    <w:rsid w:val="00334318"/>
    <w:rsid w:val="0033443B"/>
    <w:rsid w:val="00343F3F"/>
    <w:rsid w:val="00345F4C"/>
    <w:rsid w:val="00346AC8"/>
    <w:rsid w:val="00351328"/>
    <w:rsid w:val="00360E0A"/>
    <w:rsid w:val="00361B9B"/>
    <w:rsid w:val="00380DAC"/>
    <w:rsid w:val="00384482"/>
    <w:rsid w:val="00387308"/>
    <w:rsid w:val="00392627"/>
    <w:rsid w:val="003A5357"/>
    <w:rsid w:val="003A674E"/>
    <w:rsid w:val="003C1188"/>
    <w:rsid w:val="003C70D7"/>
    <w:rsid w:val="003D1C54"/>
    <w:rsid w:val="003E0178"/>
    <w:rsid w:val="003E11DF"/>
    <w:rsid w:val="003E23A8"/>
    <w:rsid w:val="003E60D4"/>
    <w:rsid w:val="003E6E91"/>
    <w:rsid w:val="003F2284"/>
    <w:rsid w:val="003F5F19"/>
    <w:rsid w:val="003F74A1"/>
    <w:rsid w:val="003F7F02"/>
    <w:rsid w:val="0041003D"/>
    <w:rsid w:val="00411CE9"/>
    <w:rsid w:val="004161DA"/>
    <w:rsid w:val="00417657"/>
    <w:rsid w:val="00422313"/>
    <w:rsid w:val="00423DBA"/>
    <w:rsid w:val="00430421"/>
    <w:rsid w:val="00432C10"/>
    <w:rsid w:val="004443EF"/>
    <w:rsid w:val="00446952"/>
    <w:rsid w:val="00446C98"/>
    <w:rsid w:val="00454DC4"/>
    <w:rsid w:val="00462F45"/>
    <w:rsid w:val="0046370B"/>
    <w:rsid w:val="00464191"/>
    <w:rsid w:val="00466845"/>
    <w:rsid w:val="004722B8"/>
    <w:rsid w:val="00476621"/>
    <w:rsid w:val="00485B71"/>
    <w:rsid w:val="004914FE"/>
    <w:rsid w:val="0049215D"/>
    <w:rsid w:val="004A3404"/>
    <w:rsid w:val="004A354A"/>
    <w:rsid w:val="004B04D9"/>
    <w:rsid w:val="004B16EB"/>
    <w:rsid w:val="004C303B"/>
    <w:rsid w:val="004C5EBE"/>
    <w:rsid w:val="004C697E"/>
    <w:rsid w:val="004D0578"/>
    <w:rsid w:val="004D1EC0"/>
    <w:rsid w:val="004E57ED"/>
    <w:rsid w:val="004E6C74"/>
    <w:rsid w:val="004F24B0"/>
    <w:rsid w:val="004F56C5"/>
    <w:rsid w:val="004F5D29"/>
    <w:rsid w:val="00514675"/>
    <w:rsid w:val="00514F88"/>
    <w:rsid w:val="00516524"/>
    <w:rsid w:val="005314DF"/>
    <w:rsid w:val="00535BD0"/>
    <w:rsid w:val="00537102"/>
    <w:rsid w:val="00542677"/>
    <w:rsid w:val="00542D9A"/>
    <w:rsid w:val="00555BD5"/>
    <w:rsid w:val="005636FF"/>
    <w:rsid w:val="00564524"/>
    <w:rsid w:val="00564A4A"/>
    <w:rsid w:val="00572CE9"/>
    <w:rsid w:val="005740C6"/>
    <w:rsid w:val="00590144"/>
    <w:rsid w:val="00592A8E"/>
    <w:rsid w:val="00593F3D"/>
    <w:rsid w:val="005A4F3A"/>
    <w:rsid w:val="005A5FE8"/>
    <w:rsid w:val="005B2D09"/>
    <w:rsid w:val="005B5EC8"/>
    <w:rsid w:val="005B65C7"/>
    <w:rsid w:val="005C049C"/>
    <w:rsid w:val="005C2833"/>
    <w:rsid w:val="005C467E"/>
    <w:rsid w:val="005D52A7"/>
    <w:rsid w:val="005E1C32"/>
    <w:rsid w:val="005E481A"/>
    <w:rsid w:val="005F46C7"/>
    <w:rsid w:val="00610DDA"/>
    <w:rsid w:val="00610EF2"/>
    <w:rsid w:val="00616E5E"/>
    <w:rsid w:val="00622D3F"/>
    <w:rsid w:val="00624C51"/>
    <w:rsid w:val="0062503B"/>
    <w:rsid w:val="00631826"/>
    <w:rsid w:val="00631B52"/>
    <w:rsid w:val="00637C72"/>
    <w:rsid w:val="00643F2D"/>
    <w:rsid w:val="00660353"/>
    <w:rsid w:val="006611C7"/>
    <w:rsid w:val="00661957"/>
    <w:rsid w:val="00663B08"/>
    <w:rsid w:val="0067009D"/>
    <w:rsid w:val="00670D64"/>
    <w:rsid w:val="00671C5B"/>
    <w:rsid w:val="00672464"/>
    <w:rsid w:val="00697FA7"/>
    <w:rsid w:val="006A20F1"/>
    <w:rsid w:val="006A2FD2"/>
    <w:rsid w:val="006A7E6C"/>
    <w:rsid w:val="006B3BF3"/>
    <w:rsid w:val="006C70D1"/>
    <w:rsid w:val="006F08AC"/>
    <w:rsid w:val="007004AA"/>
    <w:rsid w:val="00700F77"/>
    <w:rsid w:val="007013D4"/>
    <w:rsid w:val="00703A4E"/>
    <w:rsid w:val="0070700E"/>
    <w:rsid w:val="0071009E"/>
    <w:rsid w:val="00711926"/>
    <w:rsid w:val="00733211"/>
    <w:rsid w:val="00733E4B"/>
    <w:rsid w:val="00740ECB"/>
    <w:rsid w:val="00747977"/>
    <w:rsid w:val="0075283E"/>
    <w:rsid w:val="0075396B"/>
    <w:rsid w:val="007563B4"/>
    <w:rsid w:val="00761441"/>
    <w:rsid w:val="00763978"/>
    <w:rsid w:val="00773282"/>
    <w:rsid w:val="0078012C"/>
    <w:rsid w:val="0078319C"/>
    <w:rsid w:val="00793B2A"/>
    <w:rsid w:val="00794C9F"/>
    <w:rsid w:val="00794E79"/>
    <w:rsid w:val="00796872"/>
    <w:rsid w:val="007A139A"/>
    <w:rsid w:val="007A3742"/>
    <w:rsid w:val="007A7332"/>
    <w:rsid w:val="007C346D"/>
    <w:rsid w:val="007C6263"/>
    <w:rsid w:val="007D0674"/>
    <w:rsid w:val="007D1A01"/>
    <w:rsid w:val="007D553A"/>
    <w:rsid w:val="007D5E21"/>
    <w:rsid w:val="007E16B3"/>
    <w:rsid w:val="00800EF6"/>
    <w:rsid w:val="00800F87"/>
    <w:rsid w:val="00804DCD"/>
    <w:rsid w:val="00815D1C"/>
    <w:rsid w:val="00817AF6"/>
    <w:rsid w:val="00821C2A"/>
    <w:rsid w:val="00830668"/>
    <w:rsid w:val="00831165"/>
    <w:rsid w:val="00833056"/>
    <w:rsid w:val="00837184"/>
    <w:rsid w:val="0083725E"/>
    <w:rsid w:val="008376C5"/>
    <w:rsid w:val="0084244C"/>
    <w:rsid w:val="0084301E"/>
    <w:rsid w:val="008432AB"/>
    <w:rsid w:val="008527FC"/>
    <w:rsid w:val="0085616C"/>
    <w:rsid w:val="0085649D"/>
    <w:rsid w:val="008608F9"/>
    <w:rsid w:val="00860ED0"/>
    <w:rsid w:val="0086332C"/>
    <w:rsid w:val="008638A0"/>
    <w:rsid w:val="00867827"/>
    <w:rsid w:val="00870FEE"/>
    <w:rsid w:val="008731CD"/>
    <w:rsid w:val="00875EEC"/>
    <w:rsid w:val="0088001B"/>
    <w:rsid w:val="00881E95"/>
    <w:rsid w:val="00882E82"/>
    <w:rsid w:val="008836ED"/>
    <w:rsid w:val="00883ACA"/>
    <w:rsid w:val="00893E47"/>
    <w:rsid w:val="0089440F"/>
    <w:rsid w:val="008A000D"/>
    <w:rsid w:val="008A2AA8"/>
    <w:rsid w:val="008A38EB"/>
    <w:rsid w:val="008A39A1"/>
    <w:rsid w:val="008B3B69"/>
    <w:rsid w:val="008B525D"/>
    <w:rsid w:val="008B7AC8"/>
    <w:rsid w:val="008C0E62"/>
    <w:rsid w:val="008C1BD8"/>
    <w:rsid w:val="008C2E82"/>
    <w:rsid w:val="008C7311"/>
    <w:rsid w:val="008D7E76"/>
    <w:rsid w:val="008E1F48"/>
    <w:rsid w:val="008E4775"/>
    <w:rsid w:val="008F5A2A"/>
    <w:rsid w:val="0090071B"/>
    <w:rsid w:val="00900BFF"/>
    <w:rsid w:val="009021C0"/>
    <w:rsid w:val="00903BED"/>
    <w:rsid w:val="0090593D"/>
    <w:rsid w:val="0091194A"/>
    <w:rsid w:val="009120A6"/>
    <w:rsid w:val="009210A7"/>
    <w:rsid w:val="00921C95"/>
    <w:rsid w:val="00922021"/>
    <w:rsid w:val="00923BE0"/>
    <w:rsid w:val="00924309"/>
    <w:rsid w:val="00926501"/>
    <w:rsid w:val="00926992"/>
    <w:rsid w:val="00933A4A"/>
    <w:rsid w:val="00936E4B"/>
    <w:rsid w:val="0094686A"/>
    <w:rsid w:val="00952660"/>
    <w:rsid w:val="00953281"/>
    <w:rsid w:val="0095522C"/>
    <w:rsid w:val="00963E6F"/>
    <w:rsid w:val="00964A85"/>
    <w:rsid w:val="00964ECD"/>
    <w:rsid w:val="00966313"/>
    <w:rsid w:val="00966B90"/>
    <w:rsid w:val="0097387D"/>
    <w:rsid w:val="0097788E"/>
    <w:rsid w:val="00991038"/>
    <w:rsid w:val="00992F89"/>
    <w:rsid w:val="00996965"/>
    <w:rsid w:val="009A6C07"/>
    <w:rsid w:val="009B08F5"/>
    <w:rsid w:val="009B58CD"/>
    <w:rsid w:val="009B6044"/>
    <w:rsid w:val="009B640C"/>
    <w:rsid w:val="009C19C2"/>
    <w:rsid w:val="009C52F0"/>
    <w:rsid w:val="009F4839"/>
    <w:rsid w:val="00A05361"/>
    <w:rsid w:val="00A10062"/>
    <w:rsid w:val="00A11EDF"/>
    <w:rsid w:val="00A16622"/>
    <w:rsid w:val="00A2631C"/>
    <w:rsid w:val="00A4419F"/>
    <w:rsid w:val="00A50F1E"/>
    <w:rsid w:val="00A52868"/>
    <w:rsid w:val="00A55BFE"/>
    <w:rsid w:val="00A566AC"/>
    <w:rsid w:val="00A571AF"/>
    <w:rsid w:val="00A63029"/>
    <w:rsid w:val="00A6781A"/>
    <w:rsid w:val="00A744AC"/>
    <w:rsid w:val="00A8361C"/>
    <w:rsid w:val="00A854E3"/>
    <w:rsid w:val="00A8784E"/>
    <w:rsid w:val="00A9159F"/>
    <w:rsid w:val="00A95261"/>
    <w:rsid w:val="00AA12B5"/>
    <w:rsid w:val="00AA30CA"/>
    <w:rsid w:val="00AA78D1"/>
    <w:rsid w:val="00AB11E9"/>
    <w:rsid w:val="00AB155B"/>
    <w:rsid w:val="00AB4E4E"/>
    <w:rsid w:val="00AB5AFE"/>
    <w:rsid w:val="00AC38F8"/>
    <w:rsid w:val="00AC3B6D"/>
    <w:rsid w:val="00AC6A55"/>
    <w:rsid w:val="00AD3501"/>
    <w:rsid w:val="00AD5060"/>
    <w:rsid w:val="00AD5AA7"/>
    <w:rsid w:val="00AE42B9"/>
    <w:rsid w:val="00AE624A"/>
    <w:rsid w:val="00AE6398"/>
    <w:rsid w:val="00AF0F4C"/>
    <w:rsid w:val="00AF30D3"/>
    <w:rsid w:val="00B26975"/>
    <w:rsid w:val="00B278C0"/>
    <w:rsid w:val="00B36808"/>
    <w:rsid w:val="00B5504B"/>
    <w:rsid w:val="00B6333B"/>
    <w:rsid w:val="00B67D9B"/>
    <w:rsid w:val="00B7281F"/>
    <w:rsid w:val="00B748A8"/>
    <w:rsid w:val="00B74998"/>
    <w:rsid w:val="00B842B4"/>
    <w:rsid w:val="00BA2930"/>
    <w:rsid w:val="00BB292D"/>
    <w:rsid w:val="00BB473A"/>
    <w:rsid w:val="00BB7FCB"/>
    <w:rsid w:val="00BC5BFE"/>
    <w:rsid w:val="00BD29AD"/>
    <w:rsid w:val="00BD4B46"/>
    <w:rsid w:val="00BD6B28"/>
    <w:rsid w:val="00BE1A93"/>
    <w:rsid w:val="00C00F53"/>
    <w:rsid w:val="00C0719E"/>
    <w:rsid w:val="00C07A14"/>
    <w:rsid w:val="00C24711"/>
    <w:rsid w:val="00C4319B"/>
    <w:rsid w:val="00C53448"/>
    <w:rsid w:val="00C60AB3"/>
    <w:rsid w:val="00C7391E"/>
    <w:rsid w:val="00C739B1"/>
    <w:rsid w:val="00C840EA"/>
    <w:rsid w:val="00C8433A"/>
    <w:rsid w:val="00C85075"/>
    <w:rsid w:val="00C870E4"/>
    <w:rsid w:val="00C879D4"/>
    <w:rsid w:val="00C94C34"/>
    <w:rsid w:val="00C9571B"/>
    <w:rsid w:val="00CA7642"/>
    <w:rsid w:val="00CB6C82"/>
    <w:rsid w:val="00CB73E6"/>
    <w:rsid w:val="00CB7710"/>
    <w:rsid w:val="00CC7075"/>
    <w:rsid w:val="00CD0CA5"/>
    <w:rsid w:val="00CD0E89"/>
    <w:rsid w:val="00CE131C"/>
    <w:rsid w:val="00CE3065"/>
    <w:rsid w:val="00CE7E55"/>
    <w:rsid w:val="00CF42EE"/>
    <w:rsid w:val="00D03A01"/>
    <w:rsid w:val="00D1199D"/>
    <w:rsid w:val="00D16765"/>
    <w:rsid w:val="00D17567"/>
    <w:rsid w:val="00D22CF5"/>
    <w:rsid w:val="00D2359E"/>
    <w:rsid w:val="00D3313C"/>
    <w:rsid w:val="00D361D5"/>
    <w:rsid w:val="00D37110"/>
    <w:rsid w:val="00D45BC0"/>
    <w:rsid w:val="00D47B85"/>
    <w:rsid w:val="00D51C73"/>
    <w:rsid w:val="00D5209A"/>
    <w:rsid w:val="00D55132"/>
    <w:rsid w:val="00D57E51"/>
    <w:rsid w:val="00D60837"/>
    <w:rsid w:val="00D61DC9"/>
    <w:rsid w:val="00D64813"/>
    <w:rsid w:val="00D651C2"/>
    <w:rsid w:val="00D65245"/>
    <w:rsid w:val="00D67BEA"/>
    <w:rsid w:val="00D7095E"/>
    <w:rsid w:val="00D71517"/>
    <w:rsid w:val="00D72667"/>
    <w:rsid w:val="00D72A29"/>
    <w:rsid w:val="00D801AD"/>
    <w:rsid w:val="00D83A08"/>
    <w:rsid w:val="00D8755A"/>
    <w:rsid w:val="00D9001B"/>
    <w:rsid w:val="00D9006A"/>
    <w:rsid w:val="00D9454C"/>
    <w:rsid w:val="00D94DFA"/>
    <w:rsid w:val="00DA4663"/>
    <w:rsid w:val="00DC2366"/>
    <w:rsid w:val="00DC3E98"/>
    <w:rsid w:val="00DC5D61"/>
    <w:rsid w:val="00DD5496"/>
    <w:rsid w:val="00DD652E"/>
    <w:rsid w:val="00DE1FE0"/>
    <w:rsid w:val="00DE5CDC"/>
    <w:rsid w:val="00DE679F"/>
    <w:rsid w:val="00DF58F4"/>
    <w:rsid w:val="00E047D6"/>
    <w:rsid w:val="00E07609"/>
    <w:rsid w:val="00E1418E"/>
    <w:rsid w:val="00E146D3"/>
    <w:rsid w:val="00E21181"/>
    <w:rsid w:val="00E223D5"/>
    <w:rsid w:val="00E2746C"/>
    <w:rsid w:val="00E31D30"/>
    <w:rsid w:val="00E44D7B"/>
    <w:rsid w:val="00E46BE3"/>
    <w:rsid w:val="00E47467"/>
    <w:rsid w:val="00E479D6"/>
    <w:rsid w:val="00E47ACD"/>
    <w:rsid w:val="00E52DD9"/>
    <w:rsid w:val="00E807C1"/>
    <w:rsid w:val="00E8206C"/>
    <w:rsid w:val="00E877C1"/>
    <w:rsid w:val="00E90F72"/>
    <w:rsid w:val="00E91366"/>
    <w:rsid w:val="00E93830"/>
    <w:rsid w:val="00E94F7A"/>
    <w:rsid w:val="00EA15D9"/>
    <w:rsid w:val="00EA2AFA"/>
    <w:rsid w:val="00EA45CF"/>
    <w:rsid w:val="00EA5946"/>
    <w:rsid w:val="00EA7530"/>
    <w:rsid w:val="00EB2774"/>
    <w:rsid w:val="00EC476B"/>
    <w:rsid w:val="00EE097B"/>
    <w:rsid w:val="00EF06CB"/>
    <w:rsid w:val="00EF2A6D"/>
    <w:rsid w:val="00EF5538"/>
    <w:rsid w:val="00F016DC"/>
    <w:rsid w:val="00F13A8F"/>
    <w:rsid w:val="00F158F1"/>
    <w:rsid w:val="00F15BDC"/>
    <w:rsid w:val="00F176C5"/>
    <w:rsid w:val="00F25D7F"/>
    <w:rsid w:val="00F3127E"/>
    <w:rsid w:val="00F37E8D"/>
    <w:rsid w:val="00F4373E"/>
    <w:rsid w:val="00F444C9"/>
    <w:rsid w:val="00F45EB9"/>
    <w:rsid w:val="00F55BCD"/>
    <w:rsid w:val="00F6505F"/>
    <w:rsid w:val="00F6532D"/>
    <w:rsid w:val="00F717CF"/>
    <w:rsid w:val="00F71D24"/>
    <w:rsid w:val="00F71E56"/>
    <w:rsid w:val="00F73F39"/>
    <w:rsid w:val="00F90CF7"/>
    <w:rsid w:val="00F92743"/>
    <w:rsid w:val="00F96CDD"/>
    <w:rsid w:val="00FB01EF"/>
    <w:rsid w:val="00FB062B"/>
    <w:rsid w:val="00FB15F5"/>
    <w:rsid w:val="00FB2688"/>
    <w:rsid w:val="00FB49B0"/>
    <w:rsid w:val="00FB4D35"/>
    <w:rsid w:val="00FB4DA7"/>
    <w:rsid w:val="00FB5164"/>
    <w:rsid w:val="00FC29B3"/>
    <w:rsid w:val="00FD0BD2"/>
    <w:rsid w:val="00FD39BB"/>
    <w:rsid w:val="00FE11E3"/>
    <w:rsid w:val="00FE183F"/>
    <w:rsid w:val="00FE2461"/>
    <w:rsid w:val="00FE4F52"/>
    <w:rsid w:val="00FE7B37"/>
    <w:rsid w:val="00FE7CD1"/>
    <w:rsid w:val="00FF0AF4"/>
    <w:rsid w:val="00FF47D3"/>
    <w:rsid w:val="00FF602D"/>
    <w:rsid w:val="00FF79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A47114"/>
  <w15:docId w15:val="{79D82CA5-4C15-4B26-B4A2-18E14A12F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28"/>
      <w:ind w:left="1665" w:right="1945"/>
      <w:jc w:val="center"/>
    </w:pPr>
    <w:rPr>
      <w:b/>
      <w:bCs/>
      <w:sz w:val="36"/>
      <w:szCs w:val="36"/>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119"/>
    </w:pPr>
  </w:style>
  <w:style w:type="paragraph" w:styleId="Header">
    <w:name w:val="header"/>
    <w:basedOn w:val="Normal"/>
    <w:link w:val="HeaderChar"/>
    <w:uiPriority w:val="99"/>
    <w:unhideWhenUsed/>
    <w:rsid w:val="00963E6F"/>
    <w:pPr>
      <w:tabs>
        <w:tab w:val="center" w:pos="4680"/>
        <w:tab w:val="right" w:pos="9360"/>
      </w:tabs>
    </w:pPr>
  </w:style>
  <w:style w:type="character" w:customStyle="1" w:styleId="HeaderChar">
    <w:name w:val="Header Char"/>
    <w:basedOn w:val="DefaultParagraphFont"/>
    <w:link w:val="Header"/>
    <w:uiPriority w:val="99"/>
    <w:rsid w:val="00963E6F"/>
    <w:rPr>
      <w:rFonts w:ascii="Calibri" w:eastAsia="Calibri" w:hAnsi="Calibri" w:cs="Calibri"/>
    </w:rPr>
  </w:style>
  <w:style w:type="paragraph" w:styleId="Footer">
    <w:name w:val="footer"/>
    <w:basedOn w:val="Normal"/>
    <w:link w:val="FooterChar"/>
    <w:uiPriority w:val="99"/>
    <w:unhideWhenUsed/>
    <w:rsid w:val="00963E6F"/>
    <w:pPr>
      <w:tabs>
        <w:tab w:val="center" w:pos="4680"/>
        <w:tab w:val="right" w:pos="9360"/>
      </w:tabs>
    </w:pPr>
  </w:style>
  <w:style w:type="character" w:customStyle="1" w:styleId="FooterChar">
    <w:name w:val="Footer Char"/>
    <w:basedOn w:val="DefaultParagraphFont"/>
    <w:link w:val="Footer"/>
    <w:uiPriority w:val="99"/>
    <w:rsid w:val="00963E6F"/>
    <w:rPr>
      <w:rFonts w:ascii="Calibri" w:eastAsia="Calibri" w:hAnsi="Calibri" w:cs="Calibri"/>
    </w:rPr>
  </w:style>
  <w:style w:type="character" w:styleId="Hyperlink">
    <w:name w:val="Hyperlink"/>
    <w:basedOn w:val="DefaultParagraphFont"/>
    <w:uiPriority w:val="99"/>
    <w:unhideWhenUsed/>
    <w:rsid w:val="00D37110"/>
    <w:rPr>
      <w:color w:val="0000FF" w:themeColor="hyperlink"/>
      <w:u w:val="single"/>
    </w:rPr>
  </w:style>
  <w:style w:type="character" w:styleId="UnresolvedMention">
    <w:name w:val="Unresolved Mention"/>
    <w:basedOn w:val="DefaultParagraphFont"/>
    <w:uiPriority w:val="99"/>
    <w:semiHidden/>
    <w:unhideWhenUsed/>
    <w:rsid w:val="00D37110"/>
    <w:rPr>
      <w:color w:val="605E5C"/>
      <w:shd w:val="clear" w:color="auto" w:fill="E1DFDD"/>
    </w:rPr>
  </w:style>
  <w:style w:type="paragraph" w:styleId="NormalWeb">
    <w:name w:val="Normal (Web)"/>
    <w:basedOn w:val="Normal"/>
    <w:uiPriority w:val="99"/>
    <w:unhideWhenUsed/>
    <w:rsid w:val="00A9159F"/>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5E1C32"/>
    <w:rPr>
      <w:color w:val="800080" w:themeColor="followedHyperlink"/>
      <w:u w:val="single"/>
    </w:rPr>
  </w:style>
  <w:style w:type="table" w:styleId="TableGrid">
    <w:name w:val="Table Grid"/>
    <w:basedOn w:val="TableNormal"/>
    <w:uiPriority w:val="39"/>
    <w:rsid w:val="00464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403059">
      <w:bodyDiv w:val="1"/>
      <w:marLeft w:val="0"/>
      <w:marRight w:val="0"/>
      <w:marTop w:val="0"/>
      <w:marBottom w:val="0"/>
      <w:divBdr>
        <w:top w:val="none" w:sz="0" w:space="0" w:color="auto"/>
        <w:left w:val="none" w:sz="0" w:space="0" w:color="auto"/>
        <w:bottom w:val="none" w:sz="0" w:space="0" w:color="auto"/>
        <w:right w:val="none" w:sz="0" w:space="0" w:color="auto"/>
      </w:divBdr>
    </w:div>
    <w:div w:id="81805806">
      <w:bodyDiv w:val="1"/>
      <w:marLeft w:val="0"/>
      <w:marRight w:val="0"/>
      <w:marTop w:val="0"/>
      <w:marBottom w:val="0"/>
      <w:divBdr>
        <w:top w:val="none" w:sz="0" w:space="0" w:color="auto"/>
        <w:left w:val="none" w:sz="0" w:space="0" w:color="auto"/>
        <w:bottom w:val="none" w:sz="0" w:space="0" w:color="auto"/>
        <w:right w:val="none" w:sz="0" w:space="0" w:color="auto"/>
      </w:divBdr>
    </w:div>
    <w:div w:id="269893081">
      <w:bodyDiv w:val="1"/>
      <w:marLeft w:val="0"/>
      <w:marRight w:val="0"/>
      <w:marTop w:val="0"/>
      <w:marBottom w:val="0"/>
      <w:divBdr>
        <w:top w:val="none" w:sz="0" w:space="0" w:color="auto"/>
        <w:left w:val="none" w:sz="0" w:space="0" w:color="auto"/>
        <w:bottom w:val="none" w:sz="0" w:space="0" w:color="auto"/>
        <w:right w:val="none" w:sz="0" w:space="0" w:color="auto"/>
      </w:divBdr>
    </w:div>
    <w:div w:id="358355762">
      <w:bodyDiv w:val="1"/>
      <w:marLeft w:val="0"/>
      <w:marRight w:val="0"/>
      <w:marTop w:val="0"/>
      <w:marBottom w:val="0"/>
      <w:divBdr>
        <w:top w:val="none" w:sz="0" w:space="0" w:color="auto"/>
        <w:left w:val="none" w:sz="0" w:space="0" w:color="auto"/>
        <w:bottom w:val="none" w:sz="0" w:space="0" w:color="auto"/>
        <w:right w:val="none" w:sz="0" w:space="0" w:color="auto"/>
      </w:divBdr>
    </w:div>
    <w:div w:id="396708419">
      <w:bodyDiv w:val="1"/>
      <w:marLeft w:val="0"/>
      <w:marRight w:val="0"/>
      <w:marTop w:val="0"/>
      <w:marBottom w:val="0"/>
      <w:divBdr>
        <w:top w:val="none" w:sz="0" w:space="0" w:color="auto"/>
        <w:left w:val="none" w:sz="0" w:space="0" w:color="auto"/>
        <w:bottom w:val="none" w:sz="0" w:space="0" w:color="auto"/>
        <w:right w:val="none" w:sz="0" w:space="0" w:color="auto"/>
      </w:divBdr>
    </w:div>
    <w:div w:id="484705347">
      <w:bodyDiv w:val="1"/>
      <w:marLeft w:val="0"/>
      <w:marRight w:val="0"/>
      <w:marTop w:val="0"/>
      <w:marBottom w:val="0"/>
      <w:divBdr>
        <w:top w:val="none" w:sz="0" w:space="0" w:color="auto"/>
        <w:left w:val="none" w:sz="0" w:space="0" w:color="auto"/>
        <w:bottom w:val="none" w:sz="0" w:space="0" w:color="auto"/>
        <w:right w:val="none" w:sz="0" w:space="0" w:color="auto"/>
      </w:divBdr>
    </w:div>
    <w:div w:id="569072500">
      <w:bodyDiv w:val="1"/>
      <w:marLeft w:val="0"/>
      <w:marRight w:val="0"/>
      <w:marTop w:val="0"/>
      <w:marBottom w:val="0"/>
      <w:divBdr>
        <w:top w:val="none" w:sz="0" w:space="0" w:color="auto"/>
        <w:left w:val="none" w:sz="0" w:space="0" w:color="auto"/>
        <w:bottom w:val="none" w:sz="0" w:space="0" w:color="auto"/>
        <w:right w:val="none" w:sz="0" w:space="0" w:color="auto"/>
      </w:divBdr>
    </w:div>
    <w:div w:id="658265983">
      <w:bodyDiv w:val="1"/>
      <w:marLeft w:val="0"/>
      <w:marRight w:val="0"/>
      <w:marTop w:val="0"/>
      <w:marBottom w:val="0"/>
      <w:divBdr>
        <w:top w:val="none" w:sz="0" w:space="0" w:color="auto"/>
        <w:left w:val="none" w:sz="0" w:space="0" w:color="auto"/>
        <w:bottom w:val="none" w:sz="0" w:space="0" w:color="auto"/>
        <w:right w:val="none" w:sz="0" w:space="0" w:color="auto"/>
      </w:divBdr>
    </w:div>
    <w:div w:id="689332619">
      <w:bodyDiv w:val="1"/>
      <w:marLeft w:val="0"/>
      <w:marRight w:val="0"/>
      <w:marTop w:val="0"/>
      <w:marBottom w:val="0"/>
      <w:divBdr>
        <w:top w:val="none" w:sz="0" w:space="0" w:color="auto"/>
        <w:left w:val="none" w:sz="0" w:space="0" w:color="auto"/>
        <w:bottom w:val="none" w:sz="0" w:space="0" w:color="auto"/>
        <w:right w:val="none" w:sz="0" w:space="0" w:color="auto"/>
      </w:divBdr>
    </w:div>
    <w:div w:id="842596762">
      <w:bodyDiv w:val="1"/>
      <w:marLeft w:val="0"/>
      <w:marRight w:val="0"/>
      <w:marTop w:val="0"/>
      <w:marBottom w:val="0"/>
      <w:divBdr>
        <w:top w:val="none" w:sz="0" w:space="0" w:color="auto"/>
        <w:left w:val="none" w:sz="0" w:space="0" w:color="auto"/>
        <w:bottom w:val="none" w:sz="0" w:space="0" w:color="auto"/>
        <w:right w:val="none" w:sz="0" w:space="0" w:color="auto"/>
      </w:divBdr>
    </w:div>
    <w:div w:id="906259499">
      <w:bodyDiv w:val="1"/>
      <w:marLeft w:val="0"/>
      <w:marRight w:val="0"/>
      <w:marTop w:val="0"/>
      <w:marBottom w:val="0"/>
      <w:divBdr>
        <w:top w:val="none" w:sz="0" w:space="0" w:color="auto"/>
        <w:left w:val="none" w:sz="0" w:space="0" w:color="auto"/>
        <w:bottom w:val="none" w:sz="0" w:space="0" w:color="auto"/>
        <w:right w:val="none" w:sz="0" w:space="0" w:color="auto"/>
      </w:divBdr>
    </w:div>
    <w:div w:id="909388308">
      <w:bodyDiv w:val="1"/>
      <w:marLeft w:val="0"/>
      <w:marRight w:val="0"/>
      <w:marTop w:val="0"/>
      <w:marBottom w:val="0"/>
      <w:divBdr>
        <w:top w:val="none" w:sz="0" w:space="0" w:color="auto"/>
        <w:left w:val="none" w:sz="0" w:space="0" w:color="auto"/>
        <w:bottom w:val="none" w:sz="0" w:space="0" w:color="auto"/>
        <w:right w:val="none" w:sz="0" w:space="0" w:color="auto"/>
      </w:divBdr>
    </w:div>
    <w:div w:id="1061749134">
      <w:bodyDiv w:val="1"/>
      <w:marLeft w:val="0"/>
      <w:marRight w:val="0"/>
      <w:marTop w:val="0"/>
      <w:marBottom w:val="0"/>
      <w:divBdr>
        <w:top w:val="none" w:sz="0" w:space="0" w:color="auto"/>
        <w:left w:val="none" w:sz="0" w:space="0" w:color="auto"/>
        <w:bottom w:val="none" w:sz="0" w:space="0" w:color="auto"/>
        <w:right w:val="none" w:sz="0" w:space="0" w:color="auto"/>
      </w:divBdr>
    </w:div>
    <w:div w:id="1071386942">
      <w:bodyDiv w:val="1"/>
      <w:marLeft w:val="0"/>
      <w:marRight w:val="0"/>
      <w:marTop w:val="0"/>
      <w:marBottom w:val="0"/>
      <w:divBdr>
        <w:top w:val="none" w:sz="0" w:space="0" w:color="auto"/>
        <w:left w:val="none" w:sz="0" w:space="0" w:color="auto"/>
        <w:bottom w:val="none" w:sz="0" w:space="0" w:color="auto"/>
        <w:right w:val="none" w:sz="0" w:space="0" w:color="auto"/>
      </w:divBdr>
    </w:div>
    <w:div w:id="1214149559">
      <w:bodyDiv w:val="1"/>
      <w:marLeft w:val="0"/>
      <w:marRight w:val="0"/>
      <w:marTop w:val="0"/>
      <w:marBottom w:val="0"/>
      <w:divBdr>
        <w:top w:val="none" w:sz="0" w:space="0" w:color="auto"/>
        <w:left w:val="none" w:sz="0" w:space="0" w:color="auto"/>
        <w:bottom w:val="none" w:sz="0" w:space="0" w:color="auto"/>
        <w:right w:val="none" w:sz="0" w:space="0" w:color="auto"/>
      </w:divBdr>
    </w:div>
    <w:div w:id="1337925294">
      <w:bodyDiv w:val="1"/>
      <w:marLeft w:val="0"/>
      <w:marRight w:val="0"/>
      <w:marTop w:val="0"/>
      <w:marBottom w:val="0"/>
      <w:divBdr>
        <w:top w:val="none" w:sz="0" w:space="0" w:color="auto"/>
        <w:left w:val="none" w:sz="0" w:space="0" w:color="auto"/>
        <w:bottom w:val="none" w:sz="0" w:space="0" w:color="auto"/>
        <w:right w:val="none" w:sz="0" w:space="0" w:color="auto"/>
      </w:divBdr>
    </w:div>
    <w:div w:id="1451972531">
      <w:bodyDiv w:val="1"/>
      <w:marLeft w:val="0"/>
      <w:marRight w:val="0"/>
      <w:marTop w:val="0"/>
      <w:marBottom w:val="0"/>
      <w:divBdr>
        <w:top w:val="none" w:sz="0" w:space="0" w:color="auto"/>
        <w:left w:val="none" w:sz="0" w:space="0" w:color="auto"/>
        <w:bottom w:val="none" w:sz="0" w:space="0" w:color="auto"/>
        <w:right w:val="none" w:sz="0" w:space="0" w:color="auto"/>
      </w:divBdr>
    </w:div>
    <w:div w:id="1465079619">
      <w:bodyDiv w:val="1"/>
      <w:marLeft w:val="0"/>
      <w:marRight w:val="0"/>
      <w:marTop w:val="0"/>
      <w:marBottom w:val="0"/>
      <w:divBdr>
        <w:top w:val="none" w:sz="0" w:space="0" w:color="auto"/>
        <w:left w:val="none" w:sz="0" w:space="0" w:color="auto"/>
        <w:bottom w:val="none" w:sz="0" w:space="0" w:color="auto"/>
        <w:right w:val="none" w:sz="0" w:space="0" w:color="auto"/>
      </w:divBdr>
    </w:div>
    <w:div w:id="1778063253">
      <w:bodyDiv w:val="1"/>
      <w:marLeft w:val="0"/>
      <w:marRight w:val="0"/>
      <w:marTop w:val="0"/>
      <w:marBottom w:val="0"/>
      <w:divBdr>
        <w:top w:val="none" w:sz="0" w:space="0" w:color="auto"/>
        <w:left w:val="none" w:sz="0" w:space="0" w:color="auto"/>
        <w:bottom w:val="none" w:sz="0" w:space="0" w:color="auto"/>
        <w:right w:val="none" w:sz="0" w:space="0" w:color="auto"/>
      </w:divBdr>
    </w:div>
    <w:div w:id="1783840455">
      <w:bodyDiv w:val="1"/>
      <w:marLeft w:val="0"/>
      <w:marRight w:val="0"/>
      <w:marTop w:val="0"/>
      <w:marBottom w:val="0"/>
      <w:divBdr>
        <w:top w:val="none" w:sz="0" w:space="0" w:color="auto"/>
        <w:left w:val="none" w:sz="0" w:space="0" w:color="auto"/>
        <w:bottom w:val="none" w:sz="0" w:space="0" w:color="auto"/>
        <w:right w:val="none" w:sz="0" w:space="0" w:color="auto"/>
      </w:divBdr>
    </w:div>
    <w:div w:id="1806653448">
      <w:bodyDiv w:val="1"/>
      <w:marLeft w:val="0"/>
      <w:marRight w:val="0"/>
      <w:marTop w:val="0"/>
      <w:marBottom w:val="0"/>
      <w:divBdr>
        <w:top w:val="none" w:sz="0" w:space="0" w:color="auto"/>
        <w:left w:val="none" w:sz="0" w:space="0" w:color="auto"/>
        <w:bottom w:val="none" w:sz="0" w:space="0" w:color="auto"/>
        <w:right w:val="none" w:sz="0" w:space="0" w:color="auto"/>
      </w:divBdr>
    </w:div>
    <w:div w:id="1821190519">
      <w:bodyDiv w:val="1"/>
      <w:marLeft w:val="0"/>
      <w:marRight w:val="0"/>
      <w:marTop w:val="0"/>
      <w:marBottom w:val="0"/>
      <w:divBdr>
        <w:top w:val="none" w:sz="0" w:space="0" w:color="auto"/>
        <w:left w:val="none" w:sz="0" w:space="0" w:color="auto"/>
        <w:bottom w:val="none" w:sz="0" w:space="0" w:color="auto"/>
        <w:right w:val="none" w:sz="0" w:space="0" w:color="auto"/>
      </w:divBdr>
    </w:div>
    <w:div w:id="2000185576">
      <w:bodyDiv w:val="1"/>
      <w:marLeft w:val="0"/>
      <w:marRight w:val="0"/>
      <w:marTop w:val="0"/>
      <w:marBottom w:val="0"/>
      <w:divBdr>
        <w:top w:val="none" w:sz="0" w:space="0" w:color="auto"/>
        <w:left w:val="none" w:sz="0" w:space="0" w:color="auto"/>
        <w:bottom w:val="none" w:sz="0" w:space="0" w:color="auto"/>
        <w:right w:val="none" w:sz="0" w:space="0" w:color="auto"/>
      </w:divBdr>
    </w:div>
    <w:div w:id="2000619695">
      <w:bodyDiv w:val="1"/>
      <w:marLeft w:val="0"/>
      <w:marRight w:val="0"/>
      <w:marTop w:val="0"/>
      <w:marBottom w:val="0"/>
      <w:divBdr>
        <w:top w:val="none" w:sz="0" w:space="0" w:color="auto"/>
        <w:left w:val="none" w:sz="0" w:space="0" w:color="auto"/>
        <w:bottom w:val="none" w:sz="0" w:space="0" w:color="auto"/>
        <w:right w:val="none" w:sz="0" w:space="0" w:color="auto"/>
      </w:divBdr>
    </w:div>
    <w:div w:id="2083529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ajed.assembly.ca.gov/sites/ajed.assembly.ca.gov/files/hearings/Lt.%20Gov%20Economic%20Growth%20and%20Competitiveness%20Agenda.pdf" TargetMode="Externa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hyperlink" Target="http://www.centerforjobs.org/ca." TargetMode="External"/><Relationship Id="rId12" Type="http://schemas.openxmlformats.org/officeDocument/2006/relationships/image" Target="media/image4.emf"/><Relationship Id="rId17" Type="http://schemas.openxmlformats.org/officeDocument/2006/relationships/hyperlink" Target="https://www.gov.ca.gov/2024/12/16/governor-newsom-releases-new-framework-to-create-high-paying-career-pathways-with-and-without-four-year-degrees/" TargetMode="External"/><Relationship Id="rId25" Type="http://schemas.openxmlformats.org/officeDocument/2006/relationships/image" Target="media/image12.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philadelphiafed.org/surveys-and-data/regional-economic-analysis/early-benchmark-revisions" TargetMode="Externa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ls.gov/charts/state-employment-and-unemployment/change-in-nonfarm-employment-by-state-map.htm" TargetMode="External"/><Relationship Id="rId24" Type="http://schemas.openxmlformats.org/officeDocument/2006/relationships/image" Target="media/image11.png"/><Relationship Id="rId32"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s://lao.ca.gov/Publications/Report/4943"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quantgov.org/" TargetMode="External"/><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gov.ca.gov/2024/12/11/icymi-private-sector-jobs-are-backbone-of-californias-job-growth/"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858</TotalTime>
  <Pages>17</Pages>
  <Words>3267</Words>
  <Characters>18622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Brooke Armour</dc:creator>
  <cp:lastModifiedBy>Michael Kahoe</cp:lastModifiedBy>
  <cp:revision>41</cp:revision>
  <cp:lastPrinted>2022-07-22T23:17:00Z</cp:lastPrinted>
  <dcterms:created xsi:type="dcterms:W3CDTF">2024-07-19T19:37:00Z</dcterms:created>
  <dcterms:modified xsi:type="dcterms:W3CDTF">2024-12-20T21:50:00Z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2022-06-28T00:00:00Z</vt:filetime>
  </property>
  <property fmtid="{D5CDD505-2E9C-101B-9397-08002B2CF9AE}" pid="3" name="Creator">
    <vt:lpwstr>Microsoft® Word for Microsoft 365</vt:lpwstr>
  </property>
  <property fmtid="{D5CDD505-2E9C-101B-9397-08002B2CF9AE}" pid="4" name="LastSaved">
    <vt:filetime>2022-07-21T00:00:00Z</vt:filetime>
  </property>
  <property fmtid="{D5CDD505-2E9C-101B-9397-08002B2CF9AE}" pid="5" name="Producer">
    <vt:lpwstr>Microsoft® Word for Microsoft 365</vt:lpwstr>
  </property>
</Properties>
</file>