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2">
      <w:pPr>
        <w:pStyle w:val="Title"/>
        <w:ind w:left="720" w:firstLine="0"/>
        <w:rPr/>
      </w:pPr>
      <w:r w:rsidDel="00000000" w:rsidR="00000000" w:rsidRPr="00000000">
        <w:rPr>
          <w:rtl w:val="0"/>
        </w:rPr>
        <w:t xml:space="preserve">California Employment Report for April 2026</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 w:line="259" w:lineRule="auto"/>
        <w:ind w:left="100" w:right="40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 w:line="259" w:lineRule="auto"/>
        <w:ind w:left="100" w:right="40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Center for Jobs and the Economy has released our initial analysis of the April labor force and jobs data. For additional information and data about the California economy visit</w:t>
      </w:r>
      <w:r w:rsidDel="00000000" w:rsidR="00000000" w:rsidRPr="00000000">
        <w:rPr>
          <w:rFonts w:ascii="Arial" w:cs="Arial" w:eastAsia="Arial" w:hAnsi="Arial"/>
          <w:b w:val="0"/>
          <w:bCs w:val="0"/>
          <w:i w:val="0"/>
          <w:iCs w:val="0"/>
          <w:smallCaps w:val="0"/>
          <w:strike w:val="0"/>
          <w:color w:val="272727"/>
          <w:sz w:val="36"/>
          <w:szCs w:val="36"/>
          <w:highlight w:val="white"/>
          <w:u w:val="none"/>
          <w:vertAlign w:val="baseline"/>
          <w:rtl w:val="0"/>
        </w:rPr>
        <w:t xml:space="preserve"> </w:t>
      </w:r>
      <w:hyperlink r:id="rId7">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www.centerforjobs.org/ca.</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 w:line="259" w:lineRule="auto"/>
        <w:ind w:left="0" w:right="403" w:firstLine="0"/>
        <w:jc w:val="left"/>
        <w:rPr>
          <w:rFonts w:ascii="Calibri" w:cs="Calibri" w:eastAsia="Calibri" w:hAnsi="Calibri"/>
          <w:b w:val="1"/>
          <w:bCs w:val="1"/>
          <w:i w:val="0"/>
          <w:iCs w:val="0"/>
          <w:smallCaps w:val="0"/>
          <w:strike w:val="0"/>
          <w:color w:val="000000"/>
          <w:sz w:val="27"/>
          <w:szCs w:val="27"/>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7"/>
          <w:szCs w:val="27"/>
          <w:u w:val="none"/>
          <w:shd w:fill="auto" w:val="clear"/>
          <w:vertAlign w:val="baseline"/>
          <w:rtl w:val="0"/>
        </w:rPr>
        <w:t xml:space="preserve">Nonfarm Jobs Edge Down 3,300</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In the preliminary numbers, seasonally adjusted nonfarm jobs showed little change with a loss of only 3,300.  Year-to-date, nonfarm jobs now show a gain of 101,500 (0.6%) compared with the overall US gain of 0.2%.  Coming after January’s high seasonal adjustment factor and the strike-affected February and March results, the April estimate is the first normalized result for the year.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April preliminary result was the 2</w:t>
      </w:r>
      <w:r w:rsidDel="00000000" w:rsidR="00000000" w:rsidRPr="00000000">
        <w:rPr>
          <w:vertAlign w:val="superscript"/>
          <w:rtl w:val="0"/>
        </w:rPr>
        <w:t xml:space="preserve">nd</w:t>
      </w:r>
      <w:r w:rsidDel="00000000" w:rsidR="00000000" w:rsidRPr="00000000">
        <w:rPr>
          <w:rtl w:val="0"/>
        </w:rPr>
        <w:t xml:space="preserve"> worst among the state, ahead of only New York.  Job gains were led by Florida with 40,500 followed by North Carolina with 16,000 and Minnesota at 15,900.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Looking at net total nonfarm job gains compared to pre-pandemic peaks, California remained in 3rd place only somewhat ahead of much smaller North Carolina.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drawing>
          <wp:inline distB="0" distT="0" distL="0" distR="0">
            <wp:extent cx="3164840" cy="1371600"/>
            <wp:effectExtent b="0" l="0" r="0" t="0"/>
            <wp:docPr id="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3164840"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By industry, job gains came from government and government-supported Health Care &amp; Social Assistance, with the Other Private industries on net contracted for the month and were largely unchanged for the year. Within the Other Private industries, gains over the year were heavily concentrated in lower wage Accommodation &amp; Food Services, while contractions were in higher wage Information, Manufacturing, and construction. </w:t>
      </w:r>
    </w:p>
    <w:p w:rsidR="00000000" w:rsidDel="00000000" w:rsidP="00000000" w:rsidRDefault="00000000" w:rsidRPr="00000000" w14:paraId="00000010">
      <w:pPr>
        <w:rPr/>
      </w:pPr>
      <w:r w:rsidDel="00000000" w:rsidR="00000000" w:rsidRPr="00000000">
        <w:rPr>
          <w:rtl w:val="0"/>
        </w:rPr>
      </w:r>
    </w:p>
    <w:tbl>
      <w:tblPr>
        <w:tblStyle w:val="Table1"/>
        <w:tblW w:w="7798.0" w:type="dxa"/>
        <w:jc w:val="center"/>
        <w:tblLayout w:type="fixed"/>
        <w:tblLook w:val="0400"/>
      </w:tblPr>
      <w:tblGrid>
        <w:gridCol w:w="5823"/>
        <w:gridCol w:w="1025"/>
        <w:gridCol w:w="950"/>
        <w:tblGridChange w:id="0">
          <w:tblGrid>
            <w:gridCol w:w="5823"/>
            <w:gridCol w:w="1025"/>
            <w:gridCol w:w="950"/>
          </w:tblGrid>
        </w:tblGridChange>
      </w:tblGrid>
      <w:tr>
        <w:trPr>
          <w:cantSplit w:val="0"/>
          <w:trHeight w:val="315" w:hRule="atLeast"/>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1">
            <w:pPr>
              <w:widowControl w:val="1"/>
              <w:rPr>
                <w:b w:val="1"/>
                <w:bCs w:val="1"/>
                <w:color w:val="000000"/>
                <w:sz w:val="24"/>
                <w:szCs w:val="24"/>
              </w:rPr>
            </w:pPr>
            <w:r w:rsidDel="00000000" w:rsidR="00000000" w:rsidRPr="00000000">
              <w:rPr>
                <w:b w:val="1"/>
                <w:bCs w:val="1"/>
                <w:color w:val="000000"/>
                <w:sz w:val="24"/>
                <w:szCs w:val="24"/>
                <w:rtl w:val="0"/>
              </w:rPr>
              <w:t xml:space="preserve">Change in Nonfarm Jobs by Industry</w:t>
            </w:r>
          </w:p>
        </w:tc>
      </w:tr>
      <w:tr>
        <w:trPr>
          <w:cantSplit w:val="0"/>
          <w:trHeight w:val="300" w:hRule="atLeast"/>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4">
            <w:pPr>
              <w:widowControl w:val="1"/>
              <w:rPr>
                <w:i w:val="1"/>
                <w:iCs w:val="1"/>
                <w:color w:val="000000"/>
                <w:sz w:val="16"/>
                <w:szCs w:val="16"/>
              </w:rPr>
            </w:pPr>
            <w:r w:rsidDel="00000000" w:rsidR="00000000" w:rsidRPr="00000000">
              <w:rPr>
                <w:i w:val="1"/>
                <w:iCs w:val="1"/>
                <w:color w:val="000000"/>
                <w:sz w:val="16"/>
                <w:szCs w:val="16"/>
                <w:rtl w:val="0"/>
              </w:rPr>
              <w:t xml:space="preserve">Source:  EDD, seasonally adjusted</w:t>
            </w:r>
          </w:p>
        </w:tc>
      </w:tr>
      <w:tr>
        <w:trPr>
          <w:cantSplit w:val="0"/>
          <w:trHeight w:val="55" w:hRule="atLeast"/>
          <w:tblHeader w:val="0"/>
        </w:trPr>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17">
            <w:pPr>
              <w:widowControl w:val="1"/>
              <w:rPr>
                <w:color w:val="000000"/>
                <w:sz w:val="10"/>
                <w:szCs w:val="10"/>
              </w:rPr>
            </w:pPr>
            <w:r w:rsidDel="00000000" w:rsidR="00000000" w:rsidRPr="00000000">
              <w:rPr>
                <w:color w:val="000000"/>
                <w:sz w:val="10"/>
                <w:szCs w:val="10"/>
                <w:rtl w:val="0"/>
              </w:rPr>
              <w:t xml:space="preserve"> </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18">
            <w:pPr>
              <w:widowControl w:val="1"/>
              <w:jc w:val="right"/>
              <w:rPr>
                <w:color w:val="000000"/>
                <w:sz w:val="10"/>
                <w:szCs w:val="10"/>
              </w:rPr>
            </w:pPr>
            <w:r w:rsidDel="00000000" w:rsidR="00000000" w:rsidRPr="00000000">
              <w:rPr>
                <w:color w:val="000000"/>
                <w:sz w:val="10"/>
                <w:szCs w:val="10"/>
                <w:rtl w:val="0"/>
              </w:rPr>
              <w:t xml:space="preserve"> </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19">
            <w:pPr>
              <w:widowControl w:val="1"/>
              <w:jc w:val="right"/>
              <w:rPr>
                <w:color w:val="000000"/>
                <w:sz w:val="10"/>
                <w:szCs w:val="10"/>
              </w:rPr>
            </w:pPr>
            <w:r w:rsidDel="00000000" w:rsidR="00000000" w:rsidRPr="00000000">
              <w:rPr>
                <w:color w:val="000000"/>
                <w:sz w:val="10"/>
                <w:szCs w:val="10"/>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A">
            <w:pPr>
              <w:widowControl w:val="1"/>
              <w:jc w:val="right"/>
              <w:rPr>
                <w:color w:val="000000"/>
                <w:sz w:val="20"/>
                <w:szCs w:val="20"/>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01B">
            <w:pPr>
              <w:widowControl w:val="1"/>
              <w:jc w:val="right"/>
              <w:rPr>
                <w:i w:val="1"/>
                <w:iCs w:val="1"/>
                <w:color w:val="000000"/>
                <w:sz w:val="16"/>
                <w:szCs w:val="16"/>
              </w:rPr>
            </w:pPr>
            <w:r w:rsidDel="00000000" w:rsidR="00000000" w:rsidRPr="00000000">
              <w:rPr>
                <w:i w:val="1"/>
                <w:iCs w:val="1"/>
                <w:color w:val="000000"/>
                <w:sz w:val="16"/>
                <w:szCs w:val="16"/>
                <w:rtl w:val="0"/>
              </w:rPr>
              <w:t xml:space="preserve">From Mar 2026</w:t>
            </w:r>
          </w:p>
        </w:tc>
        <w:tc>
          <w:tcPr>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01C">
            <w:pPr>
              <w:widowControl w:val="1"/>
              <w:jc w:val="right"/>
              <w:rPr>
                <w:i w:val="1"/>
                <w:iCs w:val="1"/>
                <w:color w:val="000000"/>
                <w:sz w:val="16"/>
                <w:szCs w:val="16"/>
              </w:rPr>
            </w:pPr>
            <w:r w:rsidDel="00000000" w:rsidR="00000000" w:rsidRPr="00000000">
              <w:rPr>
                <w:i w:val="1"/>
                <w:iCs w:val="1"/>
                <w:color w:val="000000"/>
                <w:sz w:val="16"/>
                <w:szCs w:val="16"/>
                <w:rtl w:val="0"/>
              </w:rPr>
              <w:t xml:space="preserve">From Apr 2025</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D">
            <w:pPr>
              <w:widowControl w:val="1"/>
              <w:rPr>
                <w:b w:val="1"/>
                <w:bCs w:val="1"/>
                <w:color w:val="000000"/>
                <w:sz w:val="20"/>
                <w:szCs w:val="20"/>
              </w:rPr>
            </w:pPr>
            <w:r w:rsidDel="00000000" w:rsidR="00000000" w:rsidRPr="00000000">
              <w:rPr>
                <w:b w:val="1"/>
                <w:bCs w:val="1"/>
                <w:color w:val="000000"/>
                <w:sz w:val="20"/>
                <w:szCs w:val="20"/>
                <w:rtl w:val="0"/>
              </w:rPr>
              <w:t xml:space="preserve">Total Nonfarm</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E">
            <w:pPr>
              <w:widowControl w:val="1"/>
              <w:jc w:val="right"/>
              <w:rPr>
                <w:b w:val="1"/>
                <w:bCs w:val="1"/>
                <w:color w:val="000000"/>
                <w:sz w:val="20"/>
                <w:szCs w:val="20"/>
              </w:rPr>
            </w:pPr>
            <w:r w:rsidDel="00000000" w:rsidR="00000000" w:rsidRPr="00000000">
              <w:rPr>
                <w:b w:val="1"/>
                <w:bCs w:val="1"/>
                <w:color w:val="000000"/>
                <w:sz w:val="20"/>
                <w:szCs w:val="20"/>
                <w:rtl w:val="0"/>
              </w:rPr>
              <w:t xml:space="preserve">-3,300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F">
            <w:pPr>
              <w:widowControl w:val="1"/>
              <w:jc w:val="right"/>
              <w:rPr>
                <w:b w:val="1"/>
                <w:bCs w:val="1"/>
                <w:color w:val="000000"/>
                <w:sz w:val="20"/>
                <w:szCs w:val="20"/>
              </w:rPr>
            </w:pPr>
            <w:r w:rsidDel="00000000" w:rsidR="00000000" w:rsidRPr="00000000">
              <w:rPr>
                <w:b w:val="1"/>
                <w:bCs w:val="1"/>
                <w:color w:val="000000"/>
                <w:sz w:val="20"/>
                <w:szCs w:val="20"/>
                <w:rtl w:val="0"/>
              </w:rPr>
              <w:t xml:space="preserve">101,500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0">
            <w:pPr>
              <w:widowControl w:val="1"/>
              <w:rPr>
                <w:b w:val="1"/>
                <w:bCs w:val="1"/>
                <w:color w:val="000000"/>
                <w:sz w:val="20"/>
                <w:szCs w:val="20"/>
              </w:rPr>
            </w:pPr>
            <w:r w:rsidDel="00000000" w:rsidR="00000000" w:rsidRPr="00000000">
              <w:rPr>
                <w:b w:val="1"/>
                <w:bCs w:val="1"/>
                <w:color w:val="000000"/>
                <w:sz w:val="20"/>
                <w:szCs w:val="20"/>
                <w:rtl w:val="0"/>
              </w:rPr>
              <w:t xml:space="preserve">Government &amp; Government Supported</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1">
            <w:pPr>
              <w:widowControl w:val="1"/>
              <w:jc w:val="right"/>
              <w:rPr>
                <w:b w:val="1"/>
                <w:bCs w:val="1"/>
                <w:color w:val="000000"/>
                <w:sz w:val="20"/>
                <w:szCs w:val="20"/>
              </w:rPr>
            </w:pPr>
            <w:r w:rsidDel="00000000" w:rsidR="00000000" w:rsidRPr="00000000">
              <w:rPr>
                <w:b w:val="1"/>
                <w:bCs w:val="1"/>
                <w:color w:val="000000"/>
                <w:sz w:val="20"/>
                <w:szCs w:val="20"/>
                <w:rtl w:val="0"/>
              </w:rPr>
              <w:t xml:space="preserve">10,000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2">
            <w:pPr>
              <w:widowControl w:val="1"/>
              <w:jc w:val="right"/>
              <w:rPr>
                <w:b w:val="1"/>
                <w:bCs w:val="1"/>
                <w:color w:val="000000"/>
                <w:sz w:val="20"/>
                <w:szCs w:val="20"/>
              </w:rPr>
            </w:pPr>
            <w:r w:rsidDel="00000000" w:rsidR="00000000" w:rsidRPr="00000000">
              <w:rPr>
                <w:b w:val="1"/>
                <w:bCs w:val="1"/>
                <w:color w:val="000000"/>
                <w:sz w:val="20"/>
                <w:szCs w:val="20"/>
                <w:rtl w:val="0"/>
              </w:rPr>
              <w:t xml:space="preserve">103,500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3">
            <w:pPr>
              <w:widowControl w:val="1"/>
              <w:ind w:firstLine="180"/>
              <w:rPr>
                <w:color w:val="000000"/>
                <w:sz w:val="18"/>
                <w:szCs w:val="18"/>
              </w:rPr>
            </w:pPr>
            <w:r w:rsidDel="00000000" w:rsidR="00000000" w:rsidRPr="00000000">
              <w:rPr>
                <w:color w:val="000000"/>
                <w:sz w:val="18"/>
                <w:szCs w:val="18"/>
                <w:rtl w:val="0"/>
              </w:rPr>
              <w:t xml:space="preserve">Government</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4">
            <w:pPr>
              <w:widowControl w:val="1"/>
              <w:jc w:val="right"/>
              <w:rPr>
                <w:color w:val="000000"/>
                <w:sz w:val="18"/>
                <w:szCs w:val="18"/>
              </w:rPr>
            </w:pPr>
            <w:r w:rsidDel="00000000" w:rsidR="00000000" w:rsidRPr="00000000">
              <w:rPr>
                <w:color w:val="000000"/>
                <w:sz w:val="18"/>
                <w:szCs w:val="18"/>
                <w:rtl w:val="0"/>
              </w:rPr>
              <w:t xml:space="preserve">2,000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5">
            <w:pPr>
              <w:widowControl w:val="1"/>
              <w:jc w:val="right"/>
              <w:rPr>
                <w:color w:val="000000"/>
                <w:sz w:val="18"/>
                <w:szCs w:val="18"/>
              </w:rPr>
            </w:pPr>
            <w:r w:rsidDel="00000000" w:rsidR="00000000" w:rsidRPr="00000000">
              <w:rPr>
                <w:color w:val="000000"/>
                <w:sz w:val="18"/>
                <w:szCs w:val="18"/>
                <w:rtl w:val="0"/>
              </w:rPr>
              <w:t xml:space="preserve">-35,700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6">
            <w:pPr>
              <w:widowControl w:val="1"/>
              <w:ind w:firstLine="180"/>
              <w:rPr>
                <w:color w:val="000000"/>
                <w:sz w:val="18"/>
                <w:szCs w:val="18"/>
              </w:rPr>
            </w:pPr>
            <w:r w:rsidDel="00000000" w:rsidR="00000000" w:rsidRPr="00000000">
              <w:rPr>
                <w:color w:val="000000"/>
                <w:sz w:val="18"/>
                <w:szCs w:val="18"/>
                <w:rtl w:val="0"/>
              </w:rPr>
              <w:t xml:space="preserve">Health Care &amp; Social Assistance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7">
            <w:pPr>
              <w:widowControl w:val="1"/>
              <w:jc w:val="right"/>
              <w:rPr>
                <w:color w:val="000000"/>
                <w:sz w:val="18"/>
                <w:szCs w:val="18"/>
              </w:rPr>
            </w:pPr>
            <w:r w:rsidDel="00000000" w:rsidR="00000000" w:rsidRPr="00000000">
              <w:rPr>
                <w:color w:val="000000"/>
                <w:sz w:val="18"/>
                <w:szCs w:val="18"/>
                <w:rtl w:val="0"/>
              </w:rPr>
              <w:t xml:space="preserve">8,000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8">
            <w:pPr>
              <w:widowControl w:val="1"/>
              <w:jc w:val="right"/>
              <w:rPr>
                <w:color w:val="000000"/>
                <w:sz w:val="18"/>
                <w:szCs w:val="18"/>
              </w:rPr>
            </w:pPr>
            <w:r w:rsidDel="00000000" w:rsidR="00000000" w:rsidRPr="00000000">
              <w:rPr>
                <w:color w:val="000000"/>
                <w:sz w:val="18"/>
                <w:szCs w:val="18"/>
                <w:rtl w:val="0"/>
              </w:rPr>
              <w:t xml:space="preserve">139,200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9">
            <w:pPr>
              <w:widowControl w:val="1"/>
              <w:rPr>
                <w:b w:val="1"/>
                <w:bCs w:val="1"/>
                <w:color w:val="000000"/>
                <w:sz w:val="20"/>
                <w:szCs w:val="20"/>
              </w:rPr>
            </w:pPr>
            <w:r w:rsidDel="00000000" w:rsidR="00000000" w:rsidRPr="00000000">
              <w:rPr>
                <w:b w:val="1"/>
                <w:bCs w:val="1"/>
                <w:color w:val="000000"/>
                <w:sz w:val="20"/>
                <w:szCs w:val="20"/>
                <w:rtl w:val="0"/>
              </w:rPr>
              <w:t xml:space="preserve">Other Private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A">
            <w:pPr>
              <w:widowControl w:val="1"/>
              <w:jc w:val="right"/>
              <w:rPr>
                <w:b w:val="1"/>
                <w:bCs w:val="1"/>
                <w:color w:val="000000"/>
                <w:sz w:val="20"/>
                <w:szCs w:val="20"/>
              </w:rPr>
            </w:pPr>
            <w:r w:rsidDel="00000000" w:rsidR="00000000" w:rsidRPr="00000000">
              <w:rPr>
                <w:b w:val="1"/>
                <w:bCs w:val="1"/>
                <w:color w:val="000000"/>
                <w:sz w:val="20"/>
                <w:szCs w:val="20"/>
                <w:rtl w:val="0"/>
              </w:rPr>
              <w:t xml:space="preserve">-13,300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B">
            <w:pPr>
              <w:widowControl w:val="1"/>
              <w:jc w:val="right"/>
              <w:rPr>
                <w:b w:val="1"/>
                <w:bCs w:val="1"/>
                <w:color w:val="000000"/>
                <w:sz w:val="20"/>
                <w:szCs w:val="20"/>
              </w:rPr>
            </w:pPr>
            <w:r w:rsidDel="00000000" w:rsidR="00000000" w:rsidRPr="00000000">
              <w:rPr>
                <w:b w:val="1"/>
                <w:bCs w:val="1"/>
                <w:color w:val="000000"/>
                <w:sz w:val="20"/>
                <w:szCs w:val="20"/>
                <w:rtl w:val="0"/>
              </w:rPr>
              <w:t xml:space="preserve">-2,000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C">
            <w:pPr>
              <w:widowControl w:val="1"/>
              <w:ind w:firstLine="180"/>
              <w:rPr>
                <w:color w:val="000000"/>
                <w:sz w:val="18"/>
                <w:szCs w:val="18"/>
              </w:rPr>
            </w:pPr>
            <w:r w:rsidDel="00000000" w:rsidR="00000000" w:rsidRPr="00000000">
              <w:rPr>
                <w:color w:val="000000"/>
                <w:sz w:val="18"/>
                <w:szCs w:val="18"/>
                <w:rtl w:val="0"/>
              </w:rPr>
              <w:t xml:space="preserve">Mining &amp; Logging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D">
            <w:pPr>
              <w:widowControl w:val="1"/>
              <w:jc w:val="right"/>
              <w:rPr>
                <w:color w:val="000000"/>
                <w:sz w:val="18"/>
                <w:szCs w:val="18"/>
              </w:rPr>
            </w:pPr>
            <w:r w:rsidDel="00000000" w:rsidR="00000000" w:rsidRPr="00000000">
              <w:rPr>
                <w:color w:val="000000"/>
                <w:sz w:val="18"/>
                <w:szCs w:val="18"/>
                <w:rtl w:val="0"/>
              </w:rPr>
              <w:t xml:space="preserve">-100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E">
            <w:pPr>
              <w:widowControl w:val="1"/>
              <w:jc w:val="right"/>
              <w:rPr>
                <w:color w:val="000000"/>
                <w:sz w:val="18"/>
                <w:szCs w:val="18"/>
              </w:rPr>
            </w:pPr>
            <w:r w:rsidDel="00000000" w:rsidR="00000000" w:rsidRPr="00000000">
              <w:rPr>
                <w:color w:val="000000"/>
                <w:sz w:val="18"/>
                <w:szCs w:val="18"/>
                <w:rtl w:val="0"/>
              </w:rPr>
              <w:t xml:space="preserve">200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F">
            <w:pPr>
              <w:widowControl w:val="1"/>
              <w:ind w:firstLine="180"/>
              <w:rPr>
                <w:color w:val="000000"/>
                <w:sz w:val="18"/>
                <w:szCs w:val="18"/>
              </w:rPr>
            </w:pPr>
            <w:r w:rsidDel="00000000" w:rsidR="00000000" w:rsidRPr="00000000">
              <w:rPr>
                <w:color w:val="000000"/>
                <w:sz w:val="18"/>
                <w:szCs w:val="18"/>
                <w:rtl w:val="0"/>
              </w:rPr>
              <w:t xml:space="preserve">Construction</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0">
            <w:pPr>
              <w:widowControl w:val="1"/>
              <w:jc w:val="right"/>
              <w:rPr>
                <w:color w:val="000000"/>
                <w:sz w:val="18"/>
                <w:szCs w:val="18"/>
              </w:rPr>
            </w:pPr>
            <w:r w:rsidDel="00000000" w:rsidR="00000000" w:rsidRPr="00000000">
              <w:rPr>
                <w:color w:val="000000"/>
                <w:sz w:val="18"/>
                <w:szCs w:val="18"/>
                <w:rtl w:val="0"/>
              </w:rPr>
              <w:t xml:space="preserve">-700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1">
            <w:pPr>
              <w:widowControl w:val="1"/>
              <w:jc w:val="right"/>
              <w:rPr>
                <w:color w:val="000000"/>
                <w:sz w:val="18"/>
                <w:szCs w:val="18"/>
              </w:rPr>
            </w:pPr>
            <w:r w:rsidDel="00000000" w:rsidR="00000000" w:rsidRPr="00000000">
              <w:rPr>
                <w:color w:val="000000"/>
                <w:sz w:val="18"/>
                <w:szCs w:val="18"/>
                <w:rtl w:val="0"/>
              </w:rPr>
              <w:t xml:space="preserve">-14,500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2">
            <w:pPr>
              <w:widowControl w:val="1"/>
              <w:ind w:firstLine="180"/>
              <w:rPr>
                <w:color w:val="000000"/>
                <w:sz w:val="18"/>
                <w:szCs w:val="18"/>
              </w:rPr>
            </w:pPr>
            <w:r w:rsidDel="00000000" w:rsidR="00000000" w:rsidRPr="00000000">
              <w:rPr>
                <w:color w:val="000000"/>
                <w:sz w:val="18"/>
                <w:szCs w:val="18"/>
                <w:rtl w:val="0"/>
              </w:rPr>
              <w:t xml:space="preserve">Manufacturing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3">
            <w:pPr>
              <w:widowControl w:val="1"/>
              <w:jc w:val="right"/>
              <w:rPr>
                <w:color w:val="000000"/>
                <w:sz w:val="18"/>
                <w:szCs w:val="18"/>
              </w:rPr>
            </w:pPr>
            <w:r w:rsidDel="00000000" w:rsidR="00000000" w:rsidRPr="00000000">
              <w:rPr>
                <w:color w:val="000000"/>
                <w:sz w:val="18"/>
                <w:szCs w:val="18"/>
                <w:rtl w:val="0"/>
              </w:rPr>
              <w:t xml:space="preserve">-2,300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4">
            <w:pPr>
              <w:widowControl w:val="1"/>
              <w:jc w:val="right"/>
              <w:rPr>
                <w:color w:val="000000"/>
                <w:sz w:val="18"/>
                <w:szCs w:val="18"/>
              </w:rPr>
            </w:pPr>
            <w:r w:rsidDel="00000000" w:rsidR="00000000" w:rsidRPr="00000000">
              <w:rPr>
                <w:color w:val="000000"/>
                <w:sz w:val="18"/>
                <w:szCs w:val="18"/>
                <w:rtl w:val="0"/>
              </w:rPr>
              <w:t xml:space="preserve">-17,000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5">
            <w:pPr>
              <w:widowControl w:val="1"/>
              <w:ind w:firstLine="180"/>
              <w:rPr>
                <w:color w:val="000000"/>
                <w:sz w:val="18"/>
                <w:szCs w:val="18"/>
              </w:rPr>
            </w:pPr>
            <w:r w:rsidDel="00000000" w:rsidR="00000000" w:rsidRPr="00000000">
              <w:rPr>
                <w:color w:val="000000"/>
                <w:sz w:val="18"/>
                <w:szCs w:val="18"/>
                <w:rtl w:val="0"/>
              </w:rPr>
              <w:t xml:space="preserve">Wholesale Trade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6">
            <w:pPr>
              <w:widowControl w:val="1"/>
              <w:jc w:val="right"/>
              <w:rPr>
                <w:color w:val="000000"/>
                <w:sz w:val="18"/>
                <w:szCs w:val="18"/>
              </w:rPr>
            </w:pPr>
            <w:r w:rsidDel="00000000" w:rsidR="00000000" w:rsidRPr="00000000">
              <w:rPr>
                <w:color w:val="000000"/>
                <w:sz w:val="18"/>
                <w:szCs w:val="18"/>
                <w:rtl w:val="0"/>
              </w:rPr>
              <w:t xml:space="preserve">-2,500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7">
            <w:pPr>
              <w:widowControl w:val="1"/>
              <w:jc w:val="right"/>
              <w:rPr>
                <w:color w:val="000000"/>
                <w:sz w:val="18"/>
                <w:szCs w:val="18"/>
              </w:rPr>
            </w:pPr>
            <w:r w:rsidDel="00000000" w:rsidR="00000000" w:rsidRPr="00000000">
              <w:rPr>
                <w:color w:val="000000"/>
                <w:sz w:val="18"/>
                <w:szCs w:val="18"/>
                <w:rtl w:val="0"/>
              </w:rPr>
              <w:t xml:space="preserve">-6,600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8">
            <w:pPr>
              <w:widowControl w:val="1"/>
              <w:ind w:firstLine="180"/>
              <w:rPr>
                <w:color w:val="000000"/>
                <w:sz w:val="18"/>
                <w:szCs w:val="18"/>
              </w:rPr>
            </w:pPr>
            <w:r w:rsidDel="00000000" w:rsidR="00000000" w:rsidRPr="00000000">
              <w:rPr>
                <w:color w:val="000000"/>
                <w:sz w:val="18"/>
                <w:szCs w:val="18"/>
                <w:rtl w:val="0"/>
              </w:rPr>
              <w:t xml:space="preserve">Retail Trade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9">
            <w:pPr>
              <w:widowControl w:val="1"/>
              <w:jc w:val="right"/>
              <w:rPr>
                <w:color w:val="000000"/>
                <w:sz w:val="18"/>
                <w:szCs w:val="18"/>
              </w:rPr>
            </w:pPr>
            <w:r w:rsidDel="00000000" w:rsidR="00000000" w:rsidRPr="00000000">
              <w:rPr>
                <w:color w:val="000000"/>
                <w:sz w:val="18"/>
                <w:szCs w:val="18"/>
                <w:rtl w:val="0"/>
              </w:rPr>
              <w:t xml:space="preserve">2,400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A">
            <w:pPr>
              <w:widowControl w:val="1"/>
              <w:jc w:val="right"/>
              <w:rPr>
                <w:color w:val="000000"/>
                <w:sz w:val="18"/>
                <w:szCs w:val="18"/>
              </w:rPr>
            </w:pPr>
            <w:r w:rsidDel="00000000" w:rsidR="00000000" w:rsidRPr="00000000">
              <w:rPr>
                <w:color w:val="000000"/>
                <w:sz w:val="18"/>
                <w:szCs w:val="18"/>
                <w:rtl w:val="0"/>
              </w:rPr>
              <w:t xml:space="preserve">6,200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B">
            <w:pPr>
              <w:widowControl w:val="1"/>
              <w:ind w:firstLine="180"/>
              <w:rPr>
                <w:color w:val="000000"/>
                <w:sz w:val="18"/>
                <w:szCs w:val="18"/>
              </w:rPr>
            </w:pPr>
            <w:r w:rsidDel="00000000" w:rsidR="00000000" w:rsidRPr="00000000">
              <w:rPr>
                <w:color w:val="000000"/>
                <w:sz w:val="18"/>
                <w:szCs w:val="18"/>
                <w:rtl w:val="0"/>
              </w:rPr>
              <w:t xml:space="preserve">Transportation, Warehousing &amp; Utilities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C">
            <w:pPr>
              <w:widowControl w:val="1"/>
              <w:jc w:val="right"/>
              <w:rPr>
                <w:color w:val="000000"/>
                <w:sz w:val="18"/>
                <w:szCs w:val="18"/>
              </w:rPr>
            </w:pPr>
            <w:r w:rsidDel="00000000" w:rsidR="00000000" w:rsidRPr="00000000">
              <w:rPr>
                <w:color w:val="000000"/>
                <w:sz w:val="18"/>
                <w:szCs w:val="18"/>
                <w:rtl w:val="0"/>
              </w:rPr>
              <w:t xml:space="preserve">3,100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D">
            <w:pPr>
              <w:widowControl w:val="1"/>
              <w:jc w:val="right"/>
              <w:rPr>
                <w:color w:val="000000"/>
                <w:sz w:val="18"/>
                <w:szCs w:val="18"/>
              </w:rPr>
            </w:pPr>
            <w:r w:rsidDel="00000000" w:rsidR="00000000" w:rsidRPr="00000000">
              <w:rPr>
                <w:color w:val="000000"/>
                <w:sz w:val="18"/>
                <w:szCs w:val="18"/>
                <w:rtl w:val="0"/>
              </w:rPr>
              <w:t xml:space="preserve">-1,900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E">
            <w:pPr>
              <w:widowControl w:val="1"/>
              <w:ind w:firstLine="180"/>
              <w:rPr>
                <w:color w:val="000000"/>
                <w:sz w:val="18"/>
                <w:szCs w:val="18"/>
              </w:rPr>
            </w:pPr>
            <w:r w:rsidDel="00000000" w:rsidR="00000000" w:rsidRPr="00000000">
              <w:rPr>
                <w:color w:val="000000"/>
                <w:sz w:val="18"/>
                <w:szCs w:val="18"/>
                <w:rtl w:val="0"/>
              </w:rPr>
              <w:t xml:space="preserve">Information</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F">
            <w:pPr>
              <w:widowControl w:val="1"/>
              <w:jc w:val="right"/>
              <w:rPr>
                <w:color w:val="000000"/>
                <w:sz w:val="18"/>
                <w:szCs w:val="18"/>
              </w:rPr>
            </w:pPr>
            <w:r w:rsidDel="00000000" w:rsidR="00000000" w:rsidRPr="00000000">
              <w:rPr>
                <w:color w:val="000000"/>
                <w:sz w:val="18"/>
                <w:szCs w:val="18"/>
                <w:rtl w:val="0"/>
              </w:rPr>
              <w:t xml:space="preserve">-7,400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0">
            <w:pPr>
              <w:widowControl w:val="1"/>
              <w:jc w:val="right"/>
              <w:rPr>
                <w:color w:val="000000"/>
                <w:sz w:val="18"/>
                <w:szCs w:val="18"/>
              </w:rPr>
            </w:pPr>
            <w:r w:rsidDel="00000000" w:rsidR="00000000" w:rsidRPr="00000000">
              <w:rPr>
                <w:color w:val="000000"/>
                <w:sz w:val="18"/>
                <w:szCs w:val="18"/>
                <w:rtl w:val="0"/>
              </w:rPr>
              <w:t xml:space="preserve">-15,600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1">
            <w:pPr>
              <w:widowControl w:val="1"/>
              <w:ind w:firstLine="180"/>
              <w:rPr>
                <w:color w:val="000000"/>
                <w:sz w:val="18"/>
                <w:szCs w:val="18"/>
              </w:rPr>
            </w:pPr>
            <w:r w:rsidDel="00000000" w:rsidR="00000000" w:rsidRPr="00000000">
              <w:rPr>
                <w:color w:val="000000"/>
                <w:sz w:val="18"/>
                <w:szCs w:val="18"/>
                <w:rtl w:val="0"/>
              </w:rPr>
              <w:t xml:space="preserve">Finance &amp; Insurance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2">
            <w:pPr>
              <w:widowControl w:val="1"/>
              <w:jc w:val="right"/>
              <w:rPr>
                <w:color w:val="000000"/>
                <w:sz w:val="18"/>
                <w:szCs w:val="18"/>
              </w:rPr>
            </w:pPr>
            <w:r w:rsidDel="00000000" w:rsidR="00000000" w:rsidRPr="00000000">
              <w:rPr>
                <w:color w:val="000000"/>
                <w:sz w:val="18"/>
                <w:szCs w:val="18"/>
                <w:rtl w:val="0"/>
              </w:rPr>
              <w:t xml:space="preserve">-1,600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3">
            <w:pPr>
              <w:widowControl w:val="1"/>
              <w:jc w:val="right"/>
              <w:rPr>
                <w:color w:val="000000"/>
                <w:sz w:val="18"/>
                <w:szCs w:val="18"/>
              </w:rPr>
            </w:pPr>
            <w:r w:rsidDel="00000000" w:rsidR="00000000" w:rsidRPr="00000000">
              <w:rPr>
                <w:color w:val="000000"/>
                <w:sz w:val="18"/>
                <w:szCs w:val="18"/>
                <w:rtl w:val="0"/>
              </w:rPr>
              <w:t xml:space="preserve">-6,000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4">
            <w:pPr>
              <w:widowControl w:val="1"/>
              <w:ind w:firstLine="180"/>
              <w:rPr>
                <w:color w:val="000000"/>
                <w:sz w:val="18"/>
                <w:szCs w:val="18"/>
              </w:rPr>
            </w:pPr>
            <w:r w:rsidDel="00000000" w:rsidR="00000000" w:rsidRPr="00000000">
              <w:rPr>
                <w:color w:val="000000"/>
                <w:sz w:val="18"/>
                <w:szCs w:val="18"/>
                <w:rtl w:val="0"/>
              </w:rPr>
              <w:t xml:space="preserve">Real Estate &amp; Rental &amp; Leasing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5">
            <w:pPr>
              <w:widowControl w:val="1"/>
              <w:jc w:val="right"/>
              <w:rPr>
                <w:color w:val="000000"/>
                <w:sz w:val="18"/>
                <w:szCs w:val="18"/>
              </w:rPr>
            </w:pPr>
            <w:r w:rsidDel="00000000" w:rsidR="00000000" w:rsidRPr="00000000">
              <w:rPr>
                <w:color w:val="000000"/>
                <w:sz w:val="18"/>
                <w:szCs w:val="18"/>
                <w:rtl w:val="0"/>
              </w:rPr>
              <w:t xml:space="preserve">-1,700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6">
            <w:pPr>
              <w:widowControl w:val="1"/>
              <w:jc w:val="right"/>
              <w:rPr>
                <w:color w:val="000000"/>
                <w:sz w:val="18"/>
                <w:szCs w:val="18"/>
              </w:rPr>
            </w:pPr>
            <w:r w:rsidDel="00000000" w:rsidR="00000000" w:rsidRPr="00000000">
              <w:rPr>
                <w:color w:val="000000"/>
                <w:sz w:val="18"/>
                <w:szCs w:val="18"/>
                <w:rtl w:val="0"/>
              </w:rPr>
              <w:t xml:space="preserve">-900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7">
            <w:pPr>
              <w:widowControl w:val="1"/>
              <w:ind w:firstLine="180"/>
              <w:rPr>
                <w:color w:val="000000"/>
                <w:sz w:val="18"/>
                <w:szCs w:val="18"/>
              </w:rPr>
            </w:pPr>
            <w:r w:rsidDel="00000000" w:rsidR="00000000" w:rsidRPr="00000000">
              <w:rPr>
                <w:color w:val="000000"/>
                <w:sz w:val="18"/>
                <w:szCs w:val="18"/>
                <w:rtl w:val="0"/>
              </w:rPr>
              <w:t xml:space="preserve">Professional, Scientific &amp; Technical Services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8">
            <w:pPr>
              <w:widowControl w:val="1"/>
              <w:jc w:val="right"/>
              <w:rPr>
                <w:color w:val="000000"/>
                <w:sz w:val="18"/>
                <w:szCs w:val="18"/>
              </w:rPr>
            </w:pPr>
            <w:r w:rsidDel="00000000" w:rsidR="00000000" w:rsidRPr="00000000">
              <w:rPr>
                <w:color w:val="000000"/>
                <w:sz w:val="18"/>
                <w:szCs w:val="18"/>
                <w:rtl w:val="0"/>
              </w:rPr>
              <w:t xml:space="preserve">-4,100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9">
            <w:pPr>
              <w:widowControl w:val="1"/>
              <w:jc w:val="right"/>
              <w:rPr>
                <w:color w:val="000000"/>
                <w:sz w:val="18"/>
                <w:szCs w:val="18"/>
              </w:rPr>
            </w:pPr>
            <w:r w:rsidDel="00000000" w:rsidR="00000000" w:rsidRPr="00000000">
              <w:rPr>
                <w:color w:val="000000"/>
                <w:sz w:val="18"/>
                <w:szCs w:val="18"/>
                <w:rtl w:val="0"/>
              </w:rPr>
              <w:t xml:space="preserve">9,400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A">
            <w:pPr>
              <w:widowControl w:val="1"/>
              <w:ind w:firstLine="180"/>
              <w:rPr>
                <w:color w:val="000000"/>
                <w:sz w:val="18"/>
                <w:szCs w:val="18"/>
              </w:rPr>
            </w:pPr>
            <w:r w:rsidDel="00000000" w:rsidR="00000000" w:rsidRPr="00000000">
              <w:rPr>
                <w:color w:val="000000"/>
                <w:sz w:val="18"/>
                <w:szCs w:val="18"/>
                <w:rtl w:val="0"/>
              </w:rPr>
              <w:t xml:space="preserve">Management of Companies &amp; Enterprises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B">
            <w:pPr>
              <w:widowControl w:val="1"/>
              <w:jc w:val="right"/>
              <w:rPr>
                <w:color w:val="000000"/>
                <w:sz w:val="18"/>
                <w:szCs w:val="18"/>
              </w:rPr>
            </w:pPr>
            <w:r w:rsidDel="00000000" w:rsidR="00000000" w:rsidRPr="00000000">
              <w:rPr>
                <w:color w:val="000000"/>
                <w:sz w:val="18"/>
                <w:szCs w:val="18"/>
                <w:rtl w:val="0"/>
              </w:rPr>
              <w:t xml:space="preserve">-600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C">
            <w:pPr>
              <w:widowControl w:val="1"/>
              <w:jc w:val="right"/>
              <w:rPr>
                <w:color w:val="000000"/>
                <w:sz w:val="18"/>
                <w:szCs w:val="18"/>
              </w:rPr>
            </w:pPr>
            <w:r w:rsidDel="00000000" w:rsidR="00000000" w:rsidRPr="00000000">
              <w:rPr>
                <w:color w:val="000000"/>
                <w:sz w:val="18"/>
                <w:szCs w:val="18"/>
                <w:rtl w:val="0"/>
              </w:rPr>
              <w:t xml:space="preserve">-2,900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D">
            <w:pPr>
              <w:widowControl w:val="1"/>
              <w:ind w:firstLine="180"/>
              <w:rPr>
                <w:color w:val="000000"/>
                <w:sz w:val="18"/>
                <w:szCs w:val="18"/>
              </w:rPr>
            </w:pPr>
            <w:r w:rsidDel="00000000" w:rsidR="00000000" w:rsidRPr="00000000">
              <w:rPr>
                <w:color w:val="000000"/>
                <w:sz w:val="18"/>
                <w:szCs w:val="18"/>
                <w:rtl w:val="0"/>
              </w:rPr>
              <w:t xml:space="preserve">Administrative &amp; Support &amp; Waste Management &amp; Remediation Services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E">
            <w:pPr>
              <w:widowControl w:val="1"/>
              <w:jc w:val="right"/>
              <w:rPr>
                <w:color w:val="000000"/>
                <w:sz w:val="18"/>
                <w:szCs w:val="18"/>
              </w:rPr>
            </w:pPr>
            <w:r w:rsidDel="00000000" w:rsidR="00000000" w:rsidRPr="00000000">
              <w:rPr>
                <w:color w:val="000000"/>
                <w:sz w:val="18"/>
                <w:szCs w:val="18"/>
                <w:rtl w:val="0"/>
              </w:rPr>
              <w:t xml:space="preserve">-1,200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F">
            <w:pPr>
              <w:widowControl w:val="1"/>
              <w:jc w:val="right"/>
              <w:rPr>
                <w:color w:val="000000"/>
                <w:sz w:val="18"/>
                <w:szCs w:val="18"/>
              </w:rPr>
            </w:pPr>
            <w:r w:rsidDel="00000000" w:rsidR="00000000" w:rsidRPr="00000000">
              <w:rPr>
                <w:color w:val="000000"/>
                <w:sz w:val="18"/>
                <w:szCs w:val="18"/>
                <w:rtl w:val="0"/>
              </w:rPr>
              <w:t xml:space="preserve">-7,800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0">
            <w:pPr>
              <w:widowControl w:val="1"/>
              <w:ind w:firstLine="180"/>
              <w:rPr>
                <w:color w:val="000000"/>
                <w:sz w:val="18"/>
                <w:szCs w:val="18"/>
              </w:rPr>
            </w:pPr>
            <w:r w:rsidDel="00000000" w:rsidR="00000000" w:rsidRPr="00000000">
              <w:rPr>
                <w:color w:val="000000"/>
                <w:sz w:val="18"/>
                <w:szCs w:val="18"/>
                <w:rtl w:val="0"/>
              </w:rPr>
              <w:t xml:space="preserve">Private Educational Services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1">
            <w:pPr>
              <w:widowControl w:val="1"/>
              <w:jc w:val="right"/>
              <w:rPr>
                <w:color w:val="000000"/>
                <w:sz w:val="18"/>
                <w:szCs w:val="18"/>
              </w:rPr>
            </w:pPr>
            <w:r w:rsidDel="00000000" w:rsidR="00000000" w:rsidRPr="00000000">
              <w:rPr>
                <w:color w:val="000000"/>
                <w:sz w:val="18"/>
                <w:szCs w:val="18"/>
                <w:rtl w:val="0"/>
              </w:rPr>
              <w:t xml:space="preserve">3,500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2">
            <w:pPr>
              <w:widowControl w:val="1"/>
              <w:jc w:val="right"/>
              <w:rPr>
                <w:color w:val="000000"/>
                <w:sz w:val="18"/>
                <w:szCs w:val="18"/>
              </w:rPr>
            </w:pPr>
            <w:r w:rsidDel="00000000" w:rsidR="00000000" w:rsidRPr="00000000">
              <w:rPr>
                <w:color w:val="000000"/>
                <w:sz w:val="18"/>
                <w:szCs w:val="18"/>
                <w:rtl w:val="0"/>
              </w:rPr>
              <w:t xml:space="preserve">12,100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3">
            <w:pPr>
              <w:widowControl w:val="1"/>
              <w:ind w:firstLine="180"/>
              <w:rPr>
                <w:color w:val="000000"/>
                <w:sz w:val="18"/>
                <w:szCs w:val="18"/>
              </w:rPr>
            </w:pPr>
            <w:r w:rsidDel="00000000" w:rsidR="00000000" w:rsidRPr="00000000">
              <w:rPr>
                <w:color w:val="000000"/>
                <w:sz w:val="18"/>
                <w:szCs w:val="18"/>
                <w:rtl w:val="0"/>
              </w:rPr>
              <w:t xml:space="preserve">Arts, Entertainment &amp; Recreation</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4">
            <w:pPr>
              <w:widowControl w:val="1"/>
              <w:jc w:val="right"/>
              <w:rPr>
                <w:color w:val="000000"/>
                <w:sz w:val="18"/>
                <w:szCs w:val="18"/>
              </w:rPr>
            </w:pPr>
            <w:r w:rsidDel="00000000" w:rsidR="00000000" w:rsidRPr="00000000">
              <w:rPr>
                <w:color w:val="000000"/>
                <w:sz w:val="18"/>
                <w:szCs w:val="18"/>
                <w:rtl w:val="0"/>
              </w:rPr>
              <w:t xml:space="preserve">-2,300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5">
            <w:pPr>
              <w:widowControl w:val="1"/>
              <w:jc w:val="right"/>
              <w:rPr>
                <w:color w:val="000000"/>
                <w:sz w:val="18"/>
                <w:szCs w:val="18"/>
              </w:rPr>
            </w:pPr>
            <w:r w:rsidDel="00000000" w:rsidR="00000000" w:rsidRPr="00000000">
              <w:rPr>
                <w:color w:val="000000"/>
                <w:sz w:val="18"/>
                <w:szCs w:val="18"/>
                <w:rtl w:val="0"/>
              </w:rPr>
              <w:t xml:space="preserve">1,300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6">
            <w:pPr>
              <w:widowControl w:val="1"/>
              <w:ind w:firstLine="180"/>
              <w:rPr>
                <w:color w:val="000000"/>
                <w:sz w:val="18"/>
                <w:szCs w:val="18"/>
              </w:rPr>
            </w:pPr>
            <w:r w:rsidDel="00000000" w:rsidR="00000000" w:rsidRPr="00000000">
              <w:rPr>
                <w:color w:val="000000"/>
                <w:sz w:val="18"/>
                <w:szCs w:val="18"/>
                <w:rtl w:val="0"/>
              </w:rPr>
              <w:t xml:space="preserve">Accommodation &amp; Food Services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7">
            <w:pPr>
              <w:widowControl w:val="1"/>
              <w:jc w:val="right"/>
              <w:rPr>
                <w:color w:val="000000"/>
                <w:sz w:val="18"/>
                <w:szCs w:val="18"/>
              </w:rPr>
            </w:pPr>
            <w:r w:rsidDel="00000000" w:rsidR="00000000" w:rsidRPr="00000000">
              <w:rPr>
                <w:color w:val="000000"/>
                <w:sz w:val="18"/>
                <w:szCs w:val="18"/>
                <w:rtl w:val="0"/>
              </w:rPr>
              <w:t xml:space="preserve">2,700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8">
            <w:pPr>
              <w:widowControl w:val="1"/>
              <w:jc w:val="right"/>
              <w:rPr>
                <w:color w:val="000000"/>
                <w:sz w:val="18"/>
                <w:szCs w:val="18"/>
              </w:rPr>
            </w:pPr>
            <w:r w:rsidDel="00000000" w:rsidR="00000000" w:rsidRPr="00000000">
              <w:rPr>
                <w:color w:val="000000"/>
                <w:sz w:val="18"/>
                <w:szCs w:val="18"/>
                <w:rtl w:val="0"/>
              </w:rPr>
              <w:t xml:space="preserve">30,500</w:t>
            </w:r>
          </w:p>
        </w:tc>
      </w:tr>
      <w:tr>
        <w:trPr>
          <w:cantSplit w:val="0"/>
          <w:trHeight w:val="315" w:hRule="atLeast"/>
          <w:tblHeader w:val="0"/>
        </w:trPr>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59">
            <w:pPr>
              <w:widowControl w:val="1"/>
              <w:ind w:firstLine="180"/>
              <w:rPr>
                <w:color w:val="000000"/>
                <w:sz w:val="18"/>
                <w:szCs w:val="18"/>
              </w:rPr>
            </w:pPr>
            <w:r w:rsidDel="00000000" w:rsidR="00000000" w:rsidRPr="00000000">
              <w:rPr>
                <w:color w:val="000000"/>
                <w:sz w:val="18"/>
                <w:szCs w:val="18"/>
                <w:rtl w:val="0"/>
              </w:rPr>
              <w:t xml:space="preserve">Other Services</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5A">
            <w:pPr>
              <w:widowControl w:val="1"/>
              <w:jc w:val="right"/>
              <w:rPr>
                <w:color w:val="000000"/>
                <w:sz w:val="18"/>
                <w:szCs w:val="18"/>
              </w:rPr>
            </w:pPr>
            <w:r w:rsidDel="00000000" w:rsidR="00000000" w:rsidRPr="00000000">
              <w:rPr>
                <w:color w:val="000000"/>
                <w:sz w:val="18"/>
                <w:szCs w:val="18"/>
                <w:rtl w:val="0"/>
              </w:rPr>
              <w:t xml:space="preserve">-500</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5B">
            <w:pPr>
              <w:widowControl w:val="1"/>
              <w:jc w:val="right"/>
              <w:rPr>
                <w:color w:val="000000"/>
                <w:sz w:val="18"/>
                <w:szCs w:val="18"/>
              </w:rPr>
            </w:pPr>
            <w:r w:rsidDel="00000000" w:rsidR="00000000" w:rsidRPr="00000000">
              <w:rPr>
                <w:color w:val="000000"/>
                <w:sz w:val="18"/>
                <w:szCs w:val="18"/>
                <w:rtl w:val="0"/>
              </w:rPr>
              <w:t xml:space="preserve">11,500</w:t>
            </w:r>
          </w:p>
        </w:tc>
      </w:tr>
    </w:tbl>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spacing w:before="161" w:lineRule="auto"/>
        <w:ind w:left="100" w:firstLine="0"/>
        <w:rPr>
          <w:b w:val="1"/>
          <w:bCs w:val="1"/>
          <w:sz w:val="28"/>
          <w:szCs w:val="28"/>
        </w:rPr>
      </w:pPr>
      <w:r w:rsidDel="00000000" w:rsidR="00000000" w:rsidRPr="00000000">
        <w:rPr>
          <w:b w:val="1"/>
          <w:bCs w:val="1"/>
          <w:sz w:val="28"/>
          <w:szCs w:val="28"/>
          <w:rtl w:val="0"/>
        </w:rPr>
        <w:t xml:space="preserve">California Unemployment Rate Tied for Highest Among the States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rPr>
          <w:b w:val="1"/>
          <w:bCs w:val="1"/>
          <w:sz w:val="20"/>
          <w:szCs w:val="20"/>
        </w:rPr>
      </w:pPr>
      <w:r w:rsidDel="00000000" w:rsidR="00000000" w:rsidRPr="00000000">
        <w:rPr>
          <w:rtl w:val="0"/>
        </w:rPr>
      </w:r>
    </w:p>
    <w:tbl>
      <w:tblPr>
        <w:tblStyle w:val="Table2"/>
        <w:tblW w:w="6258.0" w:type="dxa"/>
        <w:jc w:val="center"/>
        <w:tblLayout w:type="fixed"/>
        <w:tblLook w:val="0400"/>
      </w:tblPr>
      <w:tblGrid>
        <w:gridCol w:w="1960"/>
        <w:gridCol w:w="1127"/>
        <w:gridCol w:w="840"/>
        <w:gridCol w:w="262"/>
        <w:gridCol w:w="1229"/>
        <w:gridCol w:w="840"/>
        <w:tblGridChange w:id="0">
          <w:tblGrid>
            <w:gridCol w:w="1960"/>
            <w:gridCol w:w="1127"/>
            <w:gridCol w:w="840"/>
            <w:gridCol w:w="262"/>
            <w:gridCol w:w="1229"/>
            <w:gridCol w:w="840"/>
          </w:tblGrid>
        </w:tblGridChange>
      </w:tblGrid>
      <w:tr>
        <w:trPr>
          <w:cantSplit w:val="0"/>
          <w:trHeight w:val="289" w:hRule="atLeast"/>
          <w:tblHeader w:val="0"/>
        </w:trPr>
        <w:tc>
          <w:tcPr>
            <w:tcBorders>
              <w:top w:color="000000" w:space="0" w:sz="0" w:val="nil"/>
              <w:left w:color="000000" w:space="0" w:sz="0" w:val="nil"/>
              <w:bottom w:color="000000" w:space="0" w:sz="0" w:val="nil"/>
              <w:right w:color="000000" w:space="0" w:sz="0" w:val="nil"/>
            </w:tcBorders>
            <w:shd w:fill="0f243e" w:val="clear"/>
            <w:vAlign w:val="center"/>
          </w:tcPr>
          <w:p w:rsidR="00000000" w:rsidDel="00000000" w:rsidP="00000000" w:rsidRDefault="00000000" w:rsidRPr="00000000" w14:paraId="00000061">
            <w:pPr>
              <w:rPr>
                <w:b w:val="1"/>
                <w:bCs w:val="1"/>
                <w:color w:val="ffffff"/>
                <w:sz w:val="18"/>
                <w:szCs w:val="18"/>
              </w:rPr>
            </w:pPr>
            <w:r w:rsidDel="00000000" w:rsidR="00000000" w:rsidRPr="00000000">
              <w:rPr>
                <w:b w:val="1"/>
                <w:bCs w:val="1"/>
                <w:color w:val="ffffff"/>
                <w:sz w:val="18"/>
                <w:szCs w:val="18"/>
                <w:rtl w:val="0"/>
              </w:rPr>
              <w:t xml:space="preserve">Seasonally Adjusted</w:t>
            </w:r>
          </w:p>
        </w:tc>
        <w:tc>
          <w:tcPr>
            <w:tcBorders>
              <w:top w:color="000000" w:space="0" w:sz="0" w:val="nil"/>
              <w:left w:color="000000" w:space="0" w:sz="0" w:val="nil"/>
              <w:bottom w:color="000000" w:space="0" w:sz="0" w:val="nil"/>
              <w:right w:color="000000" w:space="0" w:sz="0" w:val="nil"/>
            </w:tcBorders>
            <w:shd w:fill="0f243e" w:val="clear"/>
            <w:vAlign w:val="center"/>
          </w:tcPr>
          <w:p w:rsidR="00000000" w:rsidDel="00000000" w:rsidP="00000000" w:rsidRDefault="00000000" w:rsidRPr="00000000" w14:paraId="00000062">
            <w:pPr>
              <w:jc w:val="center"/>
              <w:rPr>
                <w:b w:val="1"/>
                <w:bCs w:val="1"/>
                <w:color w:val="ffffff"/>
                <w:sz w:val="18"/>
                <w:szCs w:val="18"/>
              </w:rPr>
            </w:pPr>
            <w:r w:rsidDel="00000000" w:rsidR="00000000" w:rsidRPr="00000000">
              <w:rPr>
                <w:b w:val="1"/>
                <w:bCs w:val="1"/>
                <w:color w:val="ffffff"/>
                <w:sz w:val="18"/>
                <w:szCs w:val="18"/>
                <w:rtl w:val="0"/>
              </w:rPr>
              <w:t xml:space="preserve">California</w:t>
            </w:r>
          </w:p>
        </w:tc>
        <w:tc>
          <w:tcPr>
            <w:tcBorders>
              <w:top w:color="000000" w:space="0" w:sz="0" w:val="nil"/>
              <w:left w:color="000000" w:space="0" w:sz="0" w:val="nil"/>
              <w:bottom w:color="000000" w:space="0" w:sz="0" w:val="nil"/>
              <w:right w:color="000000" w:space="0" w:sz="0" w:val="nil"/>
            </w:tcBorders>
            <w:shd w:fill="0f243e" w:val="clear"/>
            <w:vAlign w:val="center"/>
          </w:tcPr>
          <w:p w:rsidR="00000000" w:rsidDel="00000000" w:rsidP="00000000" w:rsidRDefault="00000000" w:rsidRPr="00000000" w14:paraId="00000063">
            <w:pPr>
              <w:jc w:val="center"/>
              <w:rPr>
                <w:b w:val="1"/>
                <w:bCs w:val="1"/>
                <w:color w:val="ffffff"/>
                <w:sz w:val="18"/>
                <w:szCs w:val="18"/>
              </w:rPr>
            </w:pPr>
            <w:r w:rsidDel="00000000" w:rsidR="00000000" w:rsidRPr="00000000">
              <w:rPr>
                <w:b w:val="1"/>
                <w:bCs w:val="1"/>
                <w:color w:val="ffffff"/>
                <w:sz w:val="18"/>
                <w:szCs w:val="18"/>
                <w:rtl w:val="0"/>
              </w:rPr>
              <w:t xml:space="preserve"> </w:t>
            </w:r>
          </w:p>
        </w:tc>
        <w:tc>
          <w:tcPr>
            <w:tcBorders>
              <w:top w:color="000000" w:space="0" w:sz="0" w:val="nil"/>
              <w:left w:color="000000" w:space="0" w:sz="0" w:val="nil"/>
              <w:bottom w:color="000000" w:space="0" w:sz="0" w:val="nil"/>
              <w:right w:color="000000" w:space="0" w:sz="0" w:val="nil"/>
            </w:tcBorders>
            <w:shd w:fill="0f243e" w:val="clear"/>
            <w:vAlign w:val="center"/>
          </w:tcPr>
          <w:p w:rsidR="00000000" w:rsidDel="00000000" w:rsidP="00000000" w:rsidRDefault="00000000" w:rsidRPr="00000000" w14:paraId="00000064">
            <w:pPr>
              <w:jc w:val="center"/>
              <w:rPr>
                <w:b w:val="1"/>
                <w:bCs w:val="1"/>
                <w:color w:val="ffffff"/>
                <w:sz w:val="18"/>
                <w:szCs w:val="18"/>
              </w:rPr>
            </w:pPr>
            <w:r w:rsidDel="00000000" w:rsidR="00000000" w:rsidRPr="00000000">
              <w:rPr>
                <w:b w:val="1"/>
                <w:bCs w:val="1"/>
                <w:color w:val="ffffff"/>
                <w:sz w:val="18"/>
                <w:szCs w:val="18"/>
                <w:rtl w:val="0"/>
              </w:rPr>
              <w:t xml:space="preserve"> </w:t>
            </w:r>
          </w:p>
        </w:tc>
        <w:tc>
          <w:tcPr>
            <w:tcBorders>
              <w:top w:color="000000" w:space="0" w:sz="0" w:val="nil"/>
              <w:left w:color="000000" w:space="0" w:sz="0" w:val="nil"/>
              <w:bottom w:color="000000" w:space="0" w:sz="0" w:val="nil"/>
              <w:right w:color="000000" w:space="0" w:sz="0" w:val="nil"/>
            </w:tcBorders>
            <w:shd w:fill="0f243e" w:val="clear"/>
            <w:vAlign w:val="center"/>
          </w:tcPr>
          <w:p w:rsidR="00000000" w:rsidDel="00000000" w:rsidP="00000000" w:rsidRDefault="00000000" w:rsidRPr="00000000" w14:paraId="00000065">
            <w:pPr>
              <w:jc w:val="center"/>
              <w:rPr>
                <w:b w:val="1"/>
                <w:bCs w:val="1"/>
                <w:color w:val="ffffff"/>
                <w:sz w:val="18"/>
                <w:szCs w:val="18"/>
              </w:rPr>
            </w:pPr>
            <w:r w:rsidDel="00000000" w:rsidR="00000000" w:rsidRPr="00000000">
              <w:rPr>
                <w:b w:val="1"/>
                <w:bCs w:val="1"/>
                <w:color w:val="ffffff"/>
                <w:sz w:val="18"/>
                <w:szCs w:val="18"/>
                <w:rtl w:val="0"/>
              </w:rPr>
              <w:t xml:space="preserve">US</w:t>
            </w:r>
          </w:p>
        </w:tc>
        <w:tc>
          <w:tcPr>
            <w:tcBorders>
              <w:top w:color="000000" w:space="0" w:sz="0" w:val="nil"/>
              <w:left w:color="000000" w:space="0" w:sz="0" w:val="nil"/>
              <w:bottom w:color="000000" w:space="0" w:sz="0" w:val="nil"/>
              <w:right w:color="000000" w:space="0" w:sz="0" w:val="nil"/>
            </w:tcBorders>
            <w:shd w:fill="0f243e" w:val="clear"/>
            <w:vAlign w:val="center"/>
          </w:tcPr>
          <w:p w:rsidR="00000000" w:rsidDel="00000000" w:rsidP="00000000" w:rsidRDefault="00000000" w:rsidRPr="00000000" w14:paraId="00000066">
            <w:pPr>
              <w:jc w:val="center"/>
              <w:rPr>
                <w:b w:val="1"/>
                <w:bCs w:val="1"/>
                <w:color w:val="ffffff"/>
                <w:sz w:val="18"/>
                <w:szCs w:val="18"/>
              </w:rPr>
            </w:pPr>
            <w:r w:rsidDel="00000000" w:rsidR="00000000" w:rsidRPr="00000000">
              <w:rPr>
                <w:b w:val="1"/>
                <w:bCs w:val="1"/>
                <w:color w:val="ffffff"/>
                <w:sz w:val="18"/>
                <w:szCs w:val="18"/>
                <w:rtl w:val="0"/>
              </w:rPr>
              <w:t xml:space="preserve"> </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67">
            <w:pP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68">
            <w:pPr>
              <w:jc w:val="right"/>
              <w:rPr>
                <w:color w:val="000000"/>
                <w:sz w:val="12"/>
                <w:szCs w:val="12"/>
              </w:rPr>
            </w:pPr>
            <w:r w:rsidDel="00000000" w:rsidR="00000000" w:rsidRPr="00000000">
              <w:rPr>
                <w:color w:val="000000"/>
                <w:sz w:val="12"/>
                <w:szCs w:val="12"/>
                <w:rtl w:val="0"/>
              </w:rPr>
              <w:t xml:space="preserve">Apr 2026</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69">
            <w:pPr>
              <w:jc w:val="right"/>
              <w:rPr>
                <w:color w:val="000000"/>
                <w:sz w:val="12"/>
                <w:szCs w:val="12"/>
              </w:rPr>
            </w:pPr>
            <w:r w:rsidDel="00000000" w:rsidR="00000000" w:rsidRPr="00000000">
              <w:rPr>
                <w:color w:val="000000"/>
                <w:sz w:val="12"/>
                <w:szCs w:val="12"/>
                <w:rtl w:val="0"/>
              </w:rPr>
              <w:t xml:space="preserve">Change from Mar 2026</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6A">
            <w:pPr>
              <w:jc w:val="right"/>
              <w:rPr>
                <w:color w:val="000000"/>
                <w:sz w:val="12"/>
                <w:szCs w:val="12"/>
              </w:rPr>
            </w:pPr>
            <w:r w:rsidDel="00000000" w:rsidR="00000000" w:rsidRPr="00000000">
              <w:rPr>
                <w:color w:val="000000"/>
                <w:sz w:val="12"/>
                <w:szCs w:val="12"/>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6B">
            <w:pPr>
              <w:jc w:val="right"/>
              <w:rPr>
                <w:color w:val="000000"/>
                <w:sz w:val="12"/>
                <w:szCs w:val="12"/>
              </w:rPr>
            </w:pPr>
            <w:r w:rsidDel="00000000" w:rsidR="00000000" w:rsidRPr="00000000">
              <w:rPr>
                <w:color w:val="000000"/>
                <w:sz w:val="12"/>
                <w:szCs w:val="12"/>
                <w:rtl w:val="0"/>
              </w:rPr>
              <w:t xml:space="preserve">Apr 2026</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6C">
            <w:pPr>
              <w:jc w:val="right"/>
              <w:rPr>
                <w:color w:val="000000"/>
                <w:sz w:val="12"/>
                <w:szCs w:val="12"/>
              </w:rPr>
            </w:pPr>
            <w:r w:rsidDel="00000000" w:rsidR="00000000" w:rsidRPr="00000000">
              <w:rPr>
                <w:color w:val="000000"/>
                <w:sz w:val="12"/>
                <w:szCs w:val="12"/>
                <w:rtl w:val="0"/>
              </w:rPr>
              <w:t xml:space="preserve">Change from Mar 2026</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6D">
            <w:pPr>
              <w:rPr>
                <w:color w:val="000000"/>
                <w:sz w:val="20"/>
                <w:szCs w:val="20"/>
              </w:rPr>
            </w:pPr>
            <w:r w:rsidDel="00000000" w:rsidR="00000000" w:rsidRPr="00000000">
              <w:rPr>
                <w:color w:val="000000"/>
                <w:sz w:val="20"/>
                <w:szCs w:val="20"/>
                <w:rtl w:val="0"/>
              </w:rPr>
              <w:t xml:space="preserve">Unemployment Rate</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6E">
            <w:pPr>
              <w:jc w:val="right"/>
              <w:rPr>
                <w:color w:val="000000"/>
                <w:sz w:val="20"/>
                <w:szCs w:val="20"/>
              </w:rPr>
            </w:pPr>
            <w:r w:rsidDel="00000000" w:rsidR="00000000" w:rsidRPr="00000000">
              <w:rPr>
                <w:color w:val="000000"/>
                <w:sz w:val="20"/>
                <w:szCs w:val="20"/>
                <w:rtl w:val="0"/>
              </w:rPr>
              <w:t xml:space="preserve">5.3%</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6F">
            <w:pPr>
              <w:jc w:val="right"/>
              <w:rPr>
                <w:color w:val="ff0000"/>
                <w:sz w:val="20"/>
                <w:szCs w:val="20"/>
              </w:rPr>
            </w:pPr>
            <w:r w:rsidDel="00000000" w:rsidR="00000000" w:rsidRPr="00000000">
              <w:rPr>
                <w:sz w:val="20"/>
                <w:szCs w:val="20"/>
                <w:rtl w:val="0"/>
              </w:rPr>
              <w:t xml:space="preserve">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70">
            <w:pPr>
              <w:jc w:val="right"/>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71">
            <w:pPr>
              <w:jc w:val="right"/>
              <w:rPr>
                <w:color w:val="000000"/>
                <w:sz w:val="20"/>
                <w:szCs w:val="20"/>
              </w:rPr>
            </w:pPr>
            <w:r w:rsidDel="00000000" w:rsidR="00000000" w:rsidRPr="00000000">
              <w:rPr>
                <w:color w:val="000000"/>
                <w:sz w:val="20"/>
                <w:szCs w:val="20"/>
                <w:rtl w:val="0"/>
              </w:rPr>
              <w:t xml:space="preserve">4.3%</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72">
            <w:pPr>
              <w:jc w:val="right"/>
              <w:rPr>
                <w:color w:val="ff0000"/>
                <w:sz w:val="20"/>
                <w:szCs w:val="20"/>
              </w:rPr>
            </w:pPr>
            <w:r w:rsidDel="00000000" w:rsidR="00000000" w:rsidRPr="00000000">
              <w:rPr>
                <w:sz w:val="20"/>
                <w:szCs w:val="20"/>
                <w:rtl w:val="0"/>
              </w:rPr>
              <w:t xml:space="preserve">0.0</w:t>
            </w:r>
            <w:r w:rsidDel="00000000" w:rsidR="00000000" w:rsidRPr="00000000">
              <w:rPr>
                <w:rtl w:val="0"/>
              </w:rPr>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73">
            <w:pPr>
              <w:rPr>
                <w:color w:val="000000"/>
                <w:sz w:val="20"/>
                <w:szCs w:val="20"/>
              </w:rPr>
            </w:pPr>
            <w:r w:rsidDel="00000000" w:rsidR="00000000" w:rsidRPr="00000000">
              <w:rPr>
                <w:color w:val="000000"/>
                <w:sz w:val="20"/>
                <w:szCs w:val="20"/>
                <w:rtl w:val="0"/>
              </w:rPr>
              <w:t xml:space="preserve">Labor Force</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74">
            <w:pPr>
              <w:jc w:val="right"/>
              <w:rPr>
                <w:color w:val="000000"/>
                <w:sz w:val="20"/>
                <w:szCs w:val="20"/>
              </w:rPr>
            </w:pPr>
            <w:r w:rsidDel="00000000" w:rsidR="00000000" w:rsidRPr="00000000">
              <w:rPr>
                <w:color w:val="000000"/>
                <w:sz w:val="20"/>
                <w:szCs w:val="20"/>
                <w:rtl w:val="0"/>
              </w:rPr>
              <w:t xml:space="preserve">19,720,100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75">
            <w:pPr>
              <w:jc w:val="right"/>
              <w:rPr>
                <w:color w:val="ee0000"/>
                <w:sz w:val="20"/>
                <w:szCs w:val="20"/>
              </w:rPr>
            </w:pPr>
            <w:r w:rsidDel="00000000" w:rsidR="00000000" w:rsidRPr="00000000">
              <w:rPr>
                <w:color w:val="ee0000"/>
                <w:sz w:val="20"/>
                <w:szCs w:val="20"/>
                <w:rtl w:val="0"/>
              </w:rPr>
              <w:t xml:space="preserve">-0.3%</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76">
            <w:pPr>
              <w:jc w:val="right"/>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77">
            <w:pPr>
              <w:jc w:val="right"/>
              <w:rPr>
                <w:color w:val="000000"/>
                <w:sz w:val="20"/>
                <w:szCs w:val="20"/>
              </w:rPr>
            </w:pPr>
            <w:r w:rsidDel="00000000" w:rsidR="00000000" w:rsidRPr="00000000">
              <w:rPr>
                <w:color w:val="000000"/>
                <w:sz w:val="20"/>
                <w:szCs w:val="20"/>
                <w:rtl w:val="0"/>
              </w:rPr>
              <w:t xml:space="preserve">169,995,000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78">
            <w:pPr>
              <w:jc w:val="right"/>
              <w:rPr>
                <w:color w:val="ee0000"/>
                <w:sz w:val="20"/>
                <w:szCs w:val="20"/>
              </w:rPr>
            </w:pPr>
            <w:r w:rsidDel="00000000" w:rsidR="00000000" w:rsidRPr="00000000">
              <w:rPr>
                <w:color w:val="ee0000"/>
                <w:sz w:val="20"/>
                <w:szCs w:val="20"/>
                <w:rtl w:val="0"/>
              </w:rPr>
              <w:t xml:space="preserve">-0.1%</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79">
            <w:pPr>
              <w:rPr>
                <w:color w:val="000000"/>
                <w:sz w:val="20"/>
                <w:szCs w:val="20"/>
              </w:rPr>
            </w:pPr>
            <w:r w:rsidDel="00000000" w:rsidR="00000000" w:rsidRPr="00000000">
              <w:rPr>
                <w:color w:val="000000"/>
                <w:sz w:val="20"/>
                <w:szCs w:val="20"/>
                <w:rtl w:val="0"/>
              </w:rPr>
              <w:t xml:space="preserve">Participation Rate</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7A">
            <w:pPr>
              <w:jc w:val="right"/>
              <w:rPr>
                <w:color w:val="000000"/>
                <w:sz w:val="20"/>
                <w:szCs w:val="20"/>
              </w:rPr>
            </w:pPr>
            <w:r w:rsidDel="00000000" w:rsidR="00000000" w:rsidRPr="00000000">
              <w:rPr>
                <w:color w:val="000000"/>
                <w:sz w:val="20"/>
                <w:szCs w:val="20"/>
                <w:rtl w:val="0"/>
              </w:rPr>
              <w:t xml:space="preserve">62.1%</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7B">
            <w:pPr>
              <w:jc w:val="right"/>
              <w:rPr>
                <w:color w:val="ee0000"/>
                <w:sz w:val="20"/>
                <w:szCs w:val="20"/>
              </w:rPr>
            </w:pPr>
            <w:r w:rsidDel="00000000" w:rsidR="00000000" w:rsidRPr="00000000">
              <w:rPr>
                <w:color w:val="ee0000"/>
                <w:sz w:val="20"/>
                <w:szCs w:val="20"/>
                <w:rtl w:val="0"/>
              </w:rPr>
              <w:t xml:space="preserve">-0.2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7C">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7D">
            <w:pPr>
              <w:jc w:val="right"/>
              <w:rPr>
                <w:color w:val="000000"/>
                <w:sz w:val="20"/>
                <w:szCs w:val="20"/>
              </w:rPr>
            </w:pPr>
            <w:r w:rsidDel="00000000" w:rsidR="00000000" w:rsidRPr="00000000">
              <w:rPr>
                <w:color w:val="000000"/>
                <w:sz w:val="20"/>
                <w:szCs w:val="20"/>
                <w:rtl w:val="0"/>
              </w:rPr>
              <w:t xml:space="preserve">61.8%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7E">
            <w:pPr>
              <w:jc w:val="right"/>
              <w:rPr>
                <w:color w:val="ee0000"/>
                <w:sz w:val="20"/>
                <w:szCs w:val="20"/>
              </w:rPr>
            </w:pPr>
            <w:r w:rsidDel="00000000" w:rsidR="00000000" w:rsidRPr="00000000">
              <w:rPr>
                <w:color w:val="ee0000"/>
                <w:sz w:val="20"/>
                <w:szCs w:val="20"/>
                <w:rtl w:val="0"/>
              </w:rPr>
              <w:t xml:space="preserve">-0.1</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7F">
            <w:pPr>
              <w:rPr>
                <w:color w:val="000000"/>
                <w:sz w:val="20"/>
                <w:szCs w:val="20"/>
              </w:rPr>
            </w:pPr>
            <w:r w:rsidDel="00000000" w:rsidR="00000000" w:rsidRPr="00000000">
              <w:rPr>
                <w:color w:val="000000"/>
                <w:sz w:val="20"/>
                <w:szCs w:val="20"/>
                <w:rtl w:val="0"/>
              </w:rPr>
              <w:t xml:space="preserve">Employment</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80">
            <w:pPr>
              <w:jc w:val="right"/>
              <w:rPr>
                <w:color w:val="000000"/>
                <w:sz w:val="20"/>
                <w:szCs w:val="20"/>
              </w:rPr>
            </w:pPr>
            <w:r w:rsidDel="00000000" w:rsidR="00000000" w:rsidRPr="00000000">
              <w:rPr>
                <w:color w:val="000000"/>
                <w:sz w:val="20"/>
                <w:szCs w:val="20"/>
                <w:rtl w:val="0"/>
              </w:rPr>
              <w:t xml:space="preserve">18,674,300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81">
            <w:pPr>
              <w:jc w:val="right"/>
              <w:rPr>
                <w:color w:val="ff0000"/>
                <w:sz w:val="20"/>
                <w:szCs w:val="20"/>
              </w:rPr>
            </w:pPr>
            <w:r w:rsidDel="00000000" w:rsidR="00000000" w:rsidRPr="00000000">
              <w:rPr>
                <w:color w:val="ee0000"/>
                <w:sz w:val="20"/>
                <w:szCs w:val="20"/>
                <w:rtl w:val="0"/>
              </w:rPr>
              <w:t xml:space="preserve">-0.2%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82">
            <w:pPr>
              <w:jc w:val="right"/>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83">
            <w:pPr>
              <w:jc w:val="right"/>
              <w:rPr>
                <w:color w:val="000000"/>
                <w:sz w:val="20"/>
                <w:szCs w:val="20"/>
              </w:rPr>
            </w:pPr>
            <w:r w:rsidDel="00000000" w:rsidR="00000000" w:rsidRPr="00000000">
              <w:rPr>
                <w:color w:val="000000"/>
                <w:sz w:val="20"/>
                <w:szCs w:val="20"/>
                <w:rtl w:val="0"/>
              </w:rPr>
              <w:t xml:space="preserve">162,622,000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84">
            <w:pPr>
              <w:jc w:val="right"/>
              <w:rPr>
                <w:color w:val="ee0000"/>
                <w:sz w:val="20"/>
                <w:szCs w:val="20"/>
              </w:rPr>
            </w:pPr>
            <w:r w:rsidDel="00000000" w:rsidR="00000000" w:rsidRPr="00000000">
              <w:rPr>
                <w:color w:val="ee0000"/>
                <w:sz w:val="20"/>
                <w:szCs w:val="20"/>
                <w:rtl w:val="0"/>
              </w:rPr>
              <w:t xml:space="preserve">-0.1%</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85">
            <w:pPr>
              <w:rPr>
                <w:color w:val="000000"/>
                <w:sz w:val="20"/>
                <w:szCs w:val="20"/>
              </w:rPr>
            </w:pPr>
            <w:r w:rsidDel="00000000" w:rsidR="00000000" w:rsidRPr="00000000">
              <w:rPr>
                <w:color w:val="000000"/>
                <w:sz w:val="20"/>
                <w:szCs w:val="20"/>
                <w:rtl w:val="0"/>
              </w:rPr>
              <w:t xml:space="preserve">Unemployment</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86">
            <w:pPr>
              <w:jc w:val="right"/>
              <w:rPr>
                <w:color w:val="000000"/>
                <w:sz w:val="20"/>
                <w:szCs w:val="20"/>
              </w:rPr>
            </w:pPr>
            <w:r w:rsidDel="00000000" w:rsidR="00000000" w:rsidRPr="00000000">
              <w:rPr>
                <w:color w:val="000000"/>
                <w:sz w:val="20"/>
                <w:szCs w:val="20"/>
                <w:rtl w:val="0"/>
              </w:rPr>
              <w:t xml:space="preserve">1,045,900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87">
            <w:pPr>
              <w:jc w:val="right"/>
              <w:rPr>
                <w:color w:val="ff0000"/>
                <w:sz w:val="20"/>
                <w:szCs w:val="20"/>
              </w:rPr>
            </w:pPr>
            <w:r w:rsidDel="00000000" w:rsidR="00000000" w:rsidRPr="00000000">
              <w:rPr>
                <w:sz w:val="20"/>
                <w:szCs w:val="20"/>
                <w:rtl w:val="0"/>
              </w:rPr>
              <w:t xml:space="preserve">-0.7%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88">
            <w:pPr>
              <w:jc w:val="right"/>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89">
            <w:pPr>
              <w:jc w:val="right"/>
              <w:rPr>
                <w:color w:val="000000"/>
                <w:sz w:val="20"/>
                <w:szCs w:val="20"/>
              </w:rPr>
            </w:pPr>
            <w:r w:rsidDel="00000000" w:rsidR="00000000" w:rsidRPr="00000000">
              <w:rPr>
                <w:color w:val="000000"/>
                <w:sz w:val="20"/>
                <w:szCs w:val="20"/>
                <w:rtl w:val="0"/>
              </w:rPr>
              <w:t xml:space="preserve">7,373,000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8A">
            <w:pPr>
              <w:jc w:val="right"/>
              <w:rPr>
                <w:color w:val="ff0000"/>
                <w:sz w:val="20"/>
                <w:szCs w:val="20"/>
              </w:rPr>
            </w:pPr>
            <w:r w:rsidDel="00000000" w:rsidR="00000000" w:rsidRPr="00000000">
              <w:rPr>
                <w:sz w:val="20"/>
                <w:szCs w:val="20"/>
                <w:rtl w:val="0"/>
              </w:rPr>
              <w:t xml:space="preserve">1.9%</w:t>
            </w:r>
            <w:r w:rsidDel="00000000" w:rsidR="00000000" w:rsidRPr="00000000">
              <w:rPr>
                <w:rtl w:val="0"/>
              </w:rPr>
            </w:r>
          </w:p>
        </w:tc>
      </w:tr>
    </w:tbl>
    <w:p w:rsidR="00000000" w:rsidDel="00000000" w:rsidP="00000000" w:rsidRDefault="00000000" w:rsidRPr="00000000" w14:paraId="0000008B">
      <w:pPr>
        <w:spacing w:before="161" w:lineRule="auto"/>
        <w:ind w:left="100" w:firstLine="0"/>
        <w:rPr>
          <w:b w:val="1"/>
          <w:bCs w:val="1"/>
          <w:sz w:val="20"/>
          <w:szCs w:val="20"/>
        </w:rPr>
      </w:pPr>
      <w:r w:rsidDel="00000000" w:rsidR="00000000" w:rsidRPr="00000000">
        <w:rPr>
          <w:rtl w:val="0"/>
        </w:rPr>
      </w:r>
    </w:p>
    <w:tbl>
      <w:tblPr>
        <w:tblStyle w:val="Table3"/>
        <w:tblW w:w="6258.0" w:type="dxa"/>
        <w:jc w:val="center"/>
        <w:tblLayout w:type="fixed"/>
        <w:tblLook w:val="0400"/>
      </w:tblPr>
      <w:tblGrid>
        <w:gridCol w:w="1960"/>
        <w:gridCol w:w="1127"/>
        <w:gridCol w:w="840"/>
        <w:gridCol w:w="262"/>
        <w:gridCol w:w="1229"/>
        <w:gridCol w:w="840"/>
        <w:tblGridChange w:id="0">
          <w:tblGrid>
            <w:gridCol w:w="1960"/>
            <w:gridCol w:w="1127"/>
            <w:gridCol w:w="840"/>
            <w:gridCol w:w="262"/>
            <w:gridCol w:w="1229"/>
            <w:gridCol w:w="840"/>
          </w:tblGrid>
        </w:tblGridChange>
      </w:tblGrid>
      <w:tr>
        <w:trPr>
          <w:cantSplit w:val="0"/>
          <w:trHeight w:val="330" w:hRule="atLeast"/>
          <w:tblHeader w:val="0"/>
        </w:trPr>
        <w:tc>
          <w:tcPr>
            <w:tcBorders>
              <w:top w:color="000000" w:space="0" w:sz="0" w:val="nil"/>
              <w:left w:color="000000" w:space="0" w:sz="0" w:val="nil"/>
              <w:bottom w:color="000000" w:space="0" w:sz="0" w:val="nil"/>
              <w:right w:color="000000" w:space="0" w:sz="0" w:val="nil"/>
            </w:tcBorders>
            <w:shd w:fill="0f243e" w:val="clear"/>
            <w:vAlign w:val="center"/>
          </w:tcPr>
          <w:p w:rsidR="00000000" w:rsidDel="00000000" w:rsidP="00000000" w:rsidRDefault="00000000" w:rsidRPr="00000000" w14:paraId="0000008C">
            <w:pPr>
              <w:rPr>
                <w:b w:val="1"/>
                <w:bCs w:val="1"/>
                <w:color w:val="ffffff"/>
                <w:sz w:val="18"/>
                <w:szCs w:val="18"/>
              </w:rPr>
            </w:pPr>
            <w:r w:rsidDel="00000000" w:rsidR="00000000" w:rsidRPr="00000000">
              <w:rPr>
                <w:b w:val="1"/>
                <w:bCs w:val="1"/>
                <w:color w:val="ffffff"/>
                <w:sz w:val="18"/>
                <w:szCs w:val="18"/>
                <w:rtl w:val="0"/>
              </w:rPr>
              <w:t xml:space="preserve">Not Seasonally Adjusted</w:t>
            </w:r>
          </w:p>
        </w:tc>
        <w:tc>
          <w:tcPr>
            <w:tcBorders>
              <w:top w:color="000000" w:space="0" w:sz="0" w:val="nil"/>
              <w:left w:color="000000" w:space="0" w:sz="0" w:val="nil"/>
              <w:bottom w:color="000000" w:space="0" w:sz="0" w:val="nil"/>
              <w:right w:color="000000" w:space="0" w:sz="0" w:val="nil"/>
            </w:tcBorders>
            <w:shd w:fill="0f243e" w:val="clear"/>
            <w:vAlign w:val="center"/>
          </w:tcPr>
          <w:p w:rsidR="00000000" w:rsidDel="00000000" w:rsidP="00000000" w:rsidRDefault="00000000" w:rsidRPr="00000000" w14:paraId="0000008D">
            <w:pPr>
              <w:jc w:val="center"/>
              <w:rPr>
                <w:b w:val="1"/>
                <w:bCs w:val="1"/>
                <w:color w:val="ffffff"/>
                <w:sz w:val="18"/>
                <w:szCs w:val="18"/>
              </w:rPr>
            </w:pPr>
            <w:r w:rsidDel="00000000" w:rsidR="00000000" w:rsidRPr="00000000">
              <w:rPr>
                <w:b w:val="1"/>
                <w:bCs w:val="1"/>
                <w:color w:val="ffffff"/>
                <w:sz w:val="18"/>
                <w:szCs w:val="18"/>
                <w:rtl w:val="0"/>
              </w:rPr>
              <w:t xml:space="preserve">California</w:t>
            </w:r>
          </w:p>
        </w:tc>
        <w:tc>
          <w:tcPr>
            <w:tcBorders>
              <w:top w:color="000000" w:space="0" w:sz="0" w:val="nil"/>
              <w:left w:color="000000" w:space="0" w:sz="0" w:val="nil"/>
              <w:bottom w:color="000000" w:space="0" w:sz="0" w:val="nil"/>
              <w:right w:color="000000" w:space="0" w:sz="0" w:val="nil"/>
            </w:tcBorders>
            <w:shd w:fill="0f243e" w:val="clear"/>
            <w:vAlign w:val="center"/>
          </w:tcPr>
          <w:p w:rsidR="00000000" w:rsidDel="00000000" w:rsidP="00000000" w:rsidRDefault="00000000" w:rsidRPr="00000000" w14:paraId="0000008E">
            <w:pPr>
              <w:jc w:val="center"/>
              <w:rPr>
                <w:b w:val="1"/>
                <w:bCs w:val="1"/>
                <w:color w:val="ffffff"/>
                <w:sz w:val="18"/>
                <w:szCs w:val="18"/>
              </w:rPr>
            </w:pPr>
            <w:r w:rsidDel="00000000" w:rsidR="00000000" w:rsidRPr="00000000">
              <w:rPr>
                <w:b w:val="1"/>
                <w:bCs w:val="1"/>
                <w:color w:val="ffffff"/>
                <w:sz w:val="18"/>
                <w:szCs w:val="18"/>
                <w:rtl w:val="0"/>
              </w:rPr>
              <w:t xml:space="preserve"> </w:t>
            </w:r>
          </w:p>
        </w:tc>
        <w:tc>
          <w:tcPr>
            <w:tcBorders>
              <w:top w:color="000000" w:space="0" w:sz="0" w:val="nil"/>
              <w:left w:color="000000" w:space="0" w:sz="0" w:val="nil"/>
              <w:bottom w:color="000000" w:space="0" w:sz="0" w:val="nil"/>
              <w:right w:color="000000" w:space="0" w:sz="0" w:val="nil"/>
            </w:tcBorders>
            <w:shd w:fill="0f243e" w:val="clear"/>
            <w:vAlign w:val="center"/>
          </w:tcPr>
          <w:p w:rsidR="00000000" w:rsidDel="00000000" w:rsidP="00000000" w:rsidRDefault="00000000" w:rsidRPr="00000000" w14:paraId="0000008F">
            <w:pPr>
              <w:jc w:val="center"/>
              <w:rPr>
                <w:b w:val="1"/>
                <w:bCs w:val="1"/>
                <w:color w:val="ffffff"/>
                <w:sz w:val="18"/>
                <w:szCs w:val="18"/>
              </w:rPr>
            </w:pPr>
            <w:r w:rsidDel="00000000" w:rsidR="00000000" w:rsidRPr="00000000">
              <w:rPr>
                <w:b w:val="1"/>
                <w:bCs w:val="1"/>
                <w:color w:val="ffffff"/>
                <w:sz w:val="18"/>
                <w:szCs w:val="18"/>
                <w:rtl w:val="0"/>
              </w:rPr>
              <w:t xml:space="preserve"> </w:t>
            </w:r>
          </w:p>
        </w:tc>
        <w:tc>
          <w:tcPr>
            <w:tcBorders>
              <w:top w:color="000000" w:space="0" w:sz="0" w:val="nil"/>
              <w:left w:color="000000" w:space="0" w:sz="0" w:val="nil"/>
              <w:bottom w:color="000000" w:space="0" w:sz="0" w:val="nil"/>
              <w:right w:color="000000" w:space="0" w:sz="0" w:val="nil"/>
            </w:tcBorders>
            <w:shd w:fill="0f243e" w:val="clear"/>
            <w:vAlign w:val="center"/>
          </w:tcPr>
          <w:p w:rsidR="00000000" w:rsidDel="00000000" w:rsidP="00000000" w:rsidRDefault="00000000" w:rsidRPr="00000000" w14:paraId="00000090">
            <w:pPr>
              <w:jc w:val="center"/>
              <w:rPr>
                <w:b w:val="1"/>
                <w:bCs w:val="1"/>
                <w:color w:val="ffffff"/>
                <w:sz w:val="18"/>
                <w:szCs w:val="18"/>
              </w:rPr>
            </w:pPr>
            <w:r w:rsidDel="00000000" w:rsidR="00000000" w:rsidRPr="00000000">
              <w:rPr>
                <w:b w:val="1"/>
                <w:bCs w:val="1"/>
                <w:color w:val="ffffff"/>
                <w:sz w:val="18"/>
                <w:szCs w:val="18"/>
                <w:rtl w:val="0"/>
              </w:rPr>
              <w:t xml:space="preserve">US</w:t>
            </w:r>
          </w:p>
        </w:tc>
        <w:tc>
          <w:tcPr>
            <w:tcBorders>
              <w:top w:color="000000" w:space="0" w:sz="0" w:val="nil"/>
              <w:left w:color="000000" w:space="0" w:sz="0" w:val="nil"/>
              <w:bottom w:color="000000" w:space="0" w:sz="0" w:val="nil"/>
              <w:right w:color="000000" w:space="0" w:sz="0" w:val="nil"/>
            </w:tcBorders>
            <w:shd w:fill="0f243e" w:val="clear"/>
            <w:vAlign w:val="center"/>
          </w:tcPr>
          <w:p w:rsidR="00000000" w:rsidDel="00000000" w:rsidP="00000000" w:rsidRDefault="00000000" w:rsidRPr="00000000" w14:paraId="00000091">
            <w:pPr>
              <w:jc w:val="center"/>
              <w:rPr>
                <w:b w:val="1"/>
                <w:bCs w:val="1"/>
                <w:color w:val="ffffff"/>
                <w:sz w:val="18"/>
                <w:szCs w:val="18"/>
              </w:rPr>
            </w:pPr>
            <w:r w:rsidDel="00000000" w:rsidR="00000000" w:rsidRPr="00000000">
              <w:rPr>
                <w:b w:val="1"/>
                <w:bCs w:val="1"/>
                <w:color w:val="ffffff"/>
                <w:sz w:val="18"/>
                <w:szCs w:val="18"/>
                <w:rtl w:val="0"/>
              </w:rPr>
              <w:t xml:space="preserve"> </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2">
            <w:pP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3">
            <w:pPr>
              <w:jc w:val="right"/>
              <w:rPr>
                <w:color w:val="000000"/>
                <w:sz w:val="12"/>
                <w:szCs w:val="12"/>
              </w:rPr>
            </w:pPr>
            <w:r w:rsidDel="00000000" w:rsidR="00000000" w:rsidRPr="00000000">
              <w:rPr>
                <w:color w:val="000000"/>
                <w:sz w:val="12"/>
                <w:szCs w:val="12"/>
                <w:rtl w:val="0"/>
              </w:rPr>
              <w:t xml:space="preserve">Apr 2026</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4">
            <w:pPr>
              <w:jc w:val="right"/>
              <w:rPr>
                <w:color w:val="000000"/>
                <w:sz w:val="12"/>
                <w:szCs w:val="12"/>
              </w:rPr>
            </w:pPr>
            <w:r w:rsidDel="00000000" w:rsidR="00000000" w:rsidRPr="00000000">
              <w:rPr>
                <w:color w:val="000000"/>
                <w:sz w:val="12"/>
                <w:szCs w:val="12"/>
                <w:rtl w:val="0"/>
              </w:rPr>
              <w:t xml:space="preserve">Change from Apr 2025</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5">
            <w:pPr>
              <w:jc w:val="right"/>
              <w:rPr>
                <w:color w:val="000000"/>
                <w:sz w:val="12"/>
                <w:szCs w:val="12"/>
              </w:rPr>
            </w:pPr>
            <w:r w:rsidDel="00000000" w:rsidR="00000000" w:rsidRPr="00000000">
              <w:rPr>
                <w:color w:val="000000"/>
                <w:sz w:val="12"/>
                <w:szCs w:val="12"/>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6">
            <w:pPr>
              <w:jc w:val="right"/>
              <w:rPr>
                <w:color w:val="000000"/>
                <w:sz w:val="12"/>
                <w:szCs w:val="12"/>
              </w:rPr>
            </w:pPr>
            <w:r w:rsidDel="00000000" w:rsidR="00000000" w:rsidRPr="00000000">
              <w:rPr>
                <w:color w:val="000000"/>
                <w:sz w:val="12"/>
                <w:szCs w:val="12"/>
                <w:rtl w:val="0"/>
              </w:rPr>
              <w:t xml:space="preserve">Apr 2026</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7">
            <w:pPr>
              <w:jc w:val="right"/>
              <w:rPr>
                <w:color w:val="000000"/>
                <w:sz w:val="12"/>
                <w:szCs w:val="12"/>
              </w:rPr>
            </w:pPr>
            <w:r w:rsidDel="00000000" w:rsidR="00000000" w:rsidRPr="00000000">
              <w:rPr>
                <w:color w:val="000000"/>
                <w:sz w:val="12"/>
                <w:szCs w:val="12"/>
                <w:rtl w:val="0"/>
              </w:rPr>
              <w:t xml:space="preserve">Change from Apr 2025</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8">
            <w:pPr>
              <w:rPr>
                <w:color w:val="000000"/>
                <w:sz w:val="20"/>
                <w:szCs w:val="20"/>
              </w:rPr>
            </w:pPr>
            <w:r w:rsidDel="00000000" w:rsidR="00000000" w:rsidRPr="00000000">
              <w:rPr>
                <w:color w:val="000000"/>
                <w:sz w:val="20"/>
                <w:szCs w:val="20"/>
                <w:rtl w:val="0"/>
              </w:rPr>
              <w:t xml:space="preserve">Unemployment Rate</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9">
            <w:pPr>
              <w:jc w:val="right"/>
              <w:rPr>
                <w:color w:val="000000"/>
                <w:sz w:val="20"/>
                <w:szCs w:val="20"/>
              </w:rPr>
            </w:pPr>
            <w:r w:rsidDel="00000000" w:rsidR="00000000" w:rsidRPr="00000000">
              <w:rPr>
                <w:color w:val="000000"/>
                <w:sz w:val="20"/>
                <w:szCs w:val="20"/>
                <w:rtl w:val="0"/>
              </w:rPr>
              <w:t xml:space="preserve">5.0%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A">
            <w:pPr>
              <w:jc w:val="right"/>
              <w:rPr>
                <w:color w:val="ee0000"/>
                <w:sz w:val="20"/>
                <w:szCs w:val="20"/>
              </w:rPr>
            </w:pPr>
            <w:r w:rsidDel="00000000" w:rsidR="00000000" w:rsidRPr="00000000">
              <w:rPr>
                <w:sz w:val="20"/>
                <w:szCs w:val="20"/>
                <w:rtl w:val="0"/>
              </w:rPr>
              <w:t xml:space="preserve">-0.1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B">
            <w:pPr>
              <w:jc w:val="right"/>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C">
            <w:pPr>
              <w:jc w:val="right"/>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D">
            <w:pPr>
              <w:jc w:val="right"/>
              <w:rPr>
                <w:color w:val="ee0000"/>
                <w:sz w:val="20"/>
                <w:szCs w:val="20"/>
              </w:rPr>
            </w:pPr>
            <w:r w:rsidDel="00000000" w:rsidR="00000000" w:rsidRPr="00000000">
              <w:rPr>
                <w:color w:val="ee0000"/>
                <w:sz w:val="20"/>
                <w:szCs w:val="20"/>
                <w:rtl w:val="0"/>
              </w:rPr>
              <w:t xml:space="preserve">0.1</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E">
            <w:pPr>
              <w:rPr>
                <w:color w:val="000000"/>
                <w:sz w:val="20"/>
                <w:szCs w:val="20"/>
              </w:rPr>
            </w:pPr>
            <w:r w:rsidDel="00000000" w:rsidR="00000000" w:rsidRPr="00000000">
              <w:rPr>
                <w:color w:val="000000"/>
                <w:sz w:val="20"/>
                <w:szCs w:val="20"/>
                <w:rtl w:val="0"/>
              </w:rPr>
              <w:t xml:space="preserve">Labor Force</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F">
            <w:pPr>
              <w:jc w:val="right"/>
              <w:rPr>
                <w:color w:val="000000"/>
                <w:sz w:val="20"/>
                <w:szCs w:val="20"/>
              </w:rPr>
            </w:pPr>
            <w:r w:rsidDel="00000000" w:rsidR="00000000" w:rsidRPr="00000000">
              <w:rPr>
                <w:color w:val="000000"/>
                <w:sz w:val="20"/>
                <w:szCs w:val="20"/>
                <w:rtl w:val="0"/>
              </w:rPr>
              <w:t xml:space="preserve">19,532,800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A0">
            <w:pPr>
              <w:jc w:val="right"/>
              <w:rPr>
                <w:color w:val="ee0000"/>
                <w:sz w:val="20"/>
                <w:szCs w:val="20"/>
              </w:rPr>
            </w:pPr>
            <w:r w:rsidDel="00000000" w:rsidR="00000000" w:rsidRPr="00000000">
              <w:rPr>
                <w:color w:val="ee0000"/>
                <w:sz w:val="20"/>
                <w:szCs w:val="20"/>
                <w:rtl w:val="0"/>
              </w:rPr>
              <w:t xml:space="preserve">-1.3%</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A1">
            <w:pPr>
              <w:jc w:val="right"/>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A2">
            <w:pPr>
              <w:jc w:val="right"/>
              <w:rPr>
                <w:color w:val="000000"/>
                <w:sz w:val="20"/>
                <w:szCs w:val="20"/>
              </w:rPr>
            </w:pPr>
            <w:r w:rsidDel="00000000" w:rsidR="00000000" w:rsidRPr="00000000">
              <w:rPr>
                <w:color w:val="000000"/>
                <w:sz w:val="20"/>
                <w:szCs w:val="20"/>
                <w:rtl w:val="0"/>
              </w:rPr>
              <w:t xml:space="preserve">169,548,000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A3">
            <w:pPr>
              <w:jc w:val="right"/>
              <w:rPr>
                <w:color w:val="ee0000"/>
                <w:sz w:val="20"/>
                <w:szCs w:val="20"/>
              </w:rPr>
            </w:pPr>
            <w:r w:rsidDel="00000000" w:rsidR="00000000" w:rsidRPr="00000000">
              <w:rPr>
                <w:color w:val="ee0000"/>
                <w:sz w:val="20"/>
                <w:szCs w:val="20"/>
                <w:rtl w:val="0"/>
              </w:rPr>
              <w:t xml:space="preserve">-0.6%</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A4">
            <w:pPr>
              <w:rPr>
                <w:color w:val="000000"/>
                <w:sz w:val="20"/>
                <w:szCs w:val="20"/>
              </w:rPr>
            </w:pPr>
            <w:r w:rsidDel="00000000" w:rsidR="00000000" w:rsidRPr="00000000">
              <w:rPr>
                <w:color w:val="000000"/>
                <w:sz w:val="20"/>
                <w:szCs w:val="20"/>
                <w:rtl w:val="0"/>
              </w:rPr>
              <w:t xml:space="preserve">Participation Rate</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A5">
            <w:pPr>
              <w:jc w:val="right"/>
              <w:rPr>
                <w:color w:val="000000"/>
                <w:sz w:val="20"/>
                <w:szCs w:val="20"/>
              </w:rPr>
            </w:pPr>
            <w:r w:rsidDel="00000000" w:rsidR="00000000" w:rsidRPr="00000000">
              <w:rPr>
                <w:color w:val="000000"/>
                <w:sz w:val="20"/>
                <w:szCs w:val="20"/>
                <w:rtl w:val="0"/>
              </w:rPr>
              <w:t xml:space="preserve">61.5%</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A6">
            <w:pPr>
              <w:jc w:val="right"/>
              <w:rPr>
                <w:color w:val="ee0000"/>
                <w:sz w:val="20"/>
                <w:szCs w:val="20"/>
              </w:rPr>
            </w:pPr>
            <w:r w:rsidDel="00000000" w:rsidR="00000000" w:rsidRPr="00000000">
              <w:rPr>
                <w:color w:val="ee0000"/>
                <w:sz w:val="20"/>
                <w:szCs w:val="20"/>
                <w:rtl w:val="0"/>
              </w:rPr>
              <w:t xml:space="preserve">-0.8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A7">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A8">
            <w:pPr>
              <w:jc w:val="right"/>
              <w:rPr>
                <w:color w:val="000000"/>
                <w:sz w:val="20"/>
                <w:szCs w:val="20"/>
              </w:rPr>
            </w:pPr>
            <w:r w:rsidDel="00000000" w:rsidR="00000000" w:rsidRPr="00000000">
              <w:rPr>
                <w:color w:val="000000"/>
                <w:sz w:val="20"/>
                <w:szCs w:val="20"/>
                <w:rtl w:val="0"/>
              </w:rPr>
              <w:t xml:space="preserve">61.7%</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A9">
            <w:pPr>
              <w:jc w:val="right"/>
              <w:rPr>
                <w:color w:val="ee0000"/>
                <w:sz w:val="20"/>
                <w:szCs w:val="20"/>
              </w:rPr>
            </w:pPr>
            <w:r w:rsidDel="00000000" w:rsidR="00000000" w:rsidRPr="00000000">
              <w:rPr>
                <w:color w:val="ee0000"/>
                <w:sz w:val="20"/>
                <w:szCs w:val="20"/>
                <w:rtl w:val="0"/>
              </w:rPr>
              <w:t xml:space="preserve">-0.8</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AA">
            <w:pPr>
              <w:rPr>
                <w:color w:val="000000"/>
                <w:sz w:val="20"/>
                <w:szCs w:val="20"/>
              </w:rPr>
            </w:pPr>
            <w:r w:rsidDel="00000000" w:rsidR="00000000" w:rsidRPr="00000000">
              <w:rPr>
                <w:color w:val="000000"/>
                <w:sz w:val="20"/>
                <w:szCs w:val="20"/>
                <w:rtl w:val="0"/>
              </w:rPr>
              <w:t xml:space="preserve">Employment</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AB">
            <w:pPr>
              <w:jc w:val="right"/>
              <w:rPr>
                <w:color w:val="000000"/>
                <w:sz w:val="20"/>
                <w:szCs w:val="20"/>
              </w:rPr>
            </w:pPr>
            <w:r w:rsidDel="00000000" w:rsidR="00000000" w:rsidRPr="00000000">
              <w:rPr>
                <w:color w:val="000000"/>
                <w:sz w:val="20"/>
                <w:szCs w:val="20"/>
                <w:rtl w:val="0"/>
              </w:rPr>
              <w:t xml:space="preserve">18,565,500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AC">
            <w:pPr>
              <w:jc w:val="right"/>
              <w:rPr>
                <w:color w:val="ee0000"/>
                <w:sz w:val="20"/>
                <w:szCs w:val="20"/>
              </w:rPr>
            </w:pPr>
            <w:r w:rsidDel="00000000" w:rsidR="00000000" w:rsidRPr="00000000">
              <w:rPr>
                <w:color w:val="ee0000"/>
                <w:sz w:val="20"/>
                <w:szCs w:val="20"/>
                <w:rtl w:val="0"/>
              </w:rPr>
              <w:t xml:space="preserve">-1.1%</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AD">
            <w:pPr>
              <w:jc w:val="right"/>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AE">
            <w:pPr>
              <w:jc w:val="right"/>
              <w:rPr>
                <w:color w:val="000000"/>
                <w:sz w:val="20"/>
                <w:szCs w:val="20"/>
              </w:rPr>
            </w:pPr>
            <w:r w:rsidDel="00000000" w:rsidR="00000000" w:rsidRPr="00000000">
              <w:rPr>
                <w:color w:val="000000"/>
                <w:sz w:val="20"/>
                <w:szCs w:val="20"/>
                <w:rtl w:val="0"/>
              </w:rPr>
              <w:t xml:space="preserve">162,781,000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AF">
            <w:pPr>
              <w:jc w:val="right"/>
              <w:rPr>
                <w:color w:val="ee0000"/>
                <w:sz w:val="20"/>
                <w:szCs w:val="20"/>
              </w:rPr>
            </w:pPr>
            <w:r w:rsidDel="00000000" w:rsidR="00000000" w:rsidRPr="00000000">
              <w:rPr>
                <w:color w:val="ee0000"/>
                <w:sz w:val="20"/>
                <w:szCs w:val="20"/>
                <w:rtl w:val="0"/>
              </w:rPr>
              <w:t xml:space="preserve">-0.8%</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B0">
            <w:pPr>
              <w:rPr>
                <w:color w:val="000000"/>
                <w:sz w:val="20"/>
                <w:szCs w:val="20"/>
              </w:rPr>
            </w:pPr>
            <w:r w:rsidDel="00000000" w:rsidR="00000000" w:rsidRPr="00000000">
              <w:rPr>
                <w:color w:val="000000"/>
                <w:sz w:val="20"/>
                <w:szCs w:val="20"/>
                <w:rtl w:val="0"/>
              </w:rPr>
              <w:t xml:space="preserve">Unemployment</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B1">
            <w:pPr>
              <w:jc w:val="right"/>
              <w:rPr>
                <w:color w:val="000000"/>
                <w:sz w:val="20"/>
                <w:szCs w:val="20"/>
              </w:rPr>
            </w:pPr>
            <w:r w:rsidDel="00000000" w:rsidR="00000000" w:rsidRPr="00000000">
              <w:rPr>
                <w:color w:val="000000"/>
                <w:sz w:val="20"/>
                <w:szCs w:val="20"/>
                <w:rtl w:val="0"/>
              </w:rPr>
              <w:t xml:space="preserve">967,300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B2">
            <w:pPr>
              <w:jc w:val="right"/>
              <w:rPr>
                <w:color w:val="ff0000"/>
                <w:sz w:val="20"/>
                <w:szCs w:val="20"/>
              </w:rPr>
            </w:pPr>
            <w:r w:rsidDel="00000000" w:rsidR="00000000" w:rsidRPr="00000000">
              <w:rPr>
                <w:sz w:val="20"/>
                <w:szCs w:val="20"/>
                <w:rtl w:val="0"/>
              </w:rPr>
              <w:t xml:space="preserve">-4.5%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B3">
            <w:pPr>
              <w:jc w:val="right"/>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B4">
            <w:pPr>
              <w:jc w:val="right"/>
              <w:rPr>
                <w:color w:val="000000"/>
                <w:sz w:val="20"/>
                <w:szCs w:val="20"/>
              </w:rPr>
            </w:pPr>
            <w:r w:rsidDel="00000000" w:rsidR="00000000" w:rsidRPr="00000000">
              <w:rPr>
                <w:color w:val="000000"/>
                <w:sz w:val="20"/>
                <w:szCs w:val="20"/>
                <w:rtl w:val="0"/>
              </w:rPr>
              <w:t xml:space="preserve">6,768,000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B5">
            <w:pPr>
              <w:jc w:val="right"/>
              <w:rPr>
                <w:color w:val="ff0000"/>
                <w:sz w:val="20"/>
                <w:szCs w:val="20"/>
              </w:rPr>
            </w:pPr>
            <w:r w:rsidDel="00000000" w:rsidR="00000000" w:rsidRPr="00000000">
              <w:rPr>
                <w:color w:val="ee0000"/>
                <w:sz w:val="20"/>
                <w:szCs w:val="20"/>
                <w:rtl w:val="0"/>
              </w:rPr>
              <w:t xml:space="preserve">2.8%</w:t>
            </w:r>
            <w:r w:rsidDel="00000000" w:rsidR="00000000" w:rsidRPr="00000000">
              <w:rPr>
                <w:rtl w:val="0"/>
              </w:rPr>
            </w:r>
          </w:p>
        </w:tc>
      </w:tr>
    </w:tbl>
    <w:p w:rsidR="00000000" w:rsidDel="00000000" w:rsidP="00000000" w:rsidRDefault="00000000" w:rsidRPr="00000000" w14:paraId="000000B6">
      <w:pPr>
        <w:rPr/>
      </w:pPr>
      <w:r w:rsidDel="00000000" w:rsidR="00000000" w:rsidRPr="00000000">
        <w:rPr>
          <w:rtl w:val="0"/>
        </w:rPr>
        <w:t xml:space="preserve"> </w:t>
      </w:r>
    </w:p>
    <w:p w:rsidR="00000000" w:rsidDel="00000000" w:rsidP="00000000" w:rsidRDefault="00000000" w:rsidRPr="00000000" w14:paraId="000000B7">
      <w:pPr>
        <w:spacing w:before="161" w:lineRule="auto"/>
        <w:ind w:left="100" w:firstLine="0"/>
        <w:rPr>
          <w:b w:val="1"/>
          <w:bCs w:val="1"/>
          <w:sz w:val="24"/>
          <w:szCs w:val="24"/>
        </w:rPr>
      </w:pPr>
      <w:r w:rsidDel="00000000" w:rsidR="00000000" w:rsidRPr="00000000">
        <w:rPr>
          <w:rtl w:val="0"/>
        </w:rPr>
      </w:r>
    </w:p>
    <w:tbl>
      <w:tblPr>
        <w:tblStyle w:val="Table4"/>
        <w:tblW w:w="8364.0" w:type="dxa"/>
        <w:jc w:val="left"/>
        <w:tblInd w:w="990.0" w:type="dxa"/>
        <w:tblLayout w:type="fixed"/>
        <w:tblLook w:val="0000"/>
      </w:tblPr>
      <w:tblGrid>
        <w:gridCol w:w="2160"/>
        <w:gridCol w:w="6204"/>
        <w:tblGridChange w:id="0">
          <w:tblGrid>
            <w:gridCol w:w="2160"/>
            <w:gridCol w:w="6204"/>
          </w:tblGrid>
        </w:tblGridChange>
      </w:tblGrid>
      <w:tr>
        <w:trPr>
          <w:cantSplit w:val="0"/>
          <w:trHeight w:val="1295" w:hRule="atLeast"/>
          <w:tblHeader w:val="0"/>
        </w:trPr>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63" w:lineRule="auto"/>
              <w:ind w:left="48" w:right="523" w:firstLine="0"/>
              <w:jc w:val="center"/>
              <w:rPr>
                <w:rFonts w:ascii="Calibri" w:cs="Calibri" w:eastAsia="Calibri" w:hAnsi="Calibri"/>
                <w:b w:val="1"/>
                <w:bCs w:val="1"/>
                <w:i w:val="0"/>
                <w:iCs w:val="0"/>
                <w:smallCaps w:val="0"/>
                <w:strike w:val="0"/>
                <w:color w:val="000000"/>
                <w:sz w:val="66"/>
                <w:szCs w:val="6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66"/>
                <w:szCs w:val="66"/>
                <w:u w:val="none"/>
                <w:shd w:fill="auto" w:val="clear"/>
                <w:vertAlign w:val="baseline"/>
                <w:rtl w:val="0"/>
              </w:rPr>
              <w:t xml:space="preserve">5.3%</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523"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CA Unemployment Rate</w:t>
            </w:r>
          </w:p>
        </w:tc>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California’s seasonally adjusted unemployment rate was unchanged at 5.3%, and was tied with Delaware and Nevada for the highest among the states (DC was higher at 6.2%).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US unemployment rate also was unchanged but at 4.3%.</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Using a different calculation base (12-month average from Current Population Survey), unemployment rates by ethnicity/race ranged from 3.9% for Asians to an only marginally improved 9.6% for Blacks.  Youth (age 16-19) unemployment was marginally worse at 23.8%.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Total number of unemployed was essentially unchanged, notching down by 7,500 and remaining above the 1 million level since January 2024.  The number of unemployed nationally rose by 134,000.</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4477527" cy="3830470"/>
            <wp:effectExtent b="0" l="0" r="0" t="0"/>
            <wp:docPr id="4"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4477527" cy="3830470"/>
                    </a:xfrm>
                    <a:prstGeom prst="rect"/>
                    <a:ln/>
                  </pic:spPr>
                </pic:pic>
              </a:graphicData>
            </a:graphic>
          </wp:inline>
        </w:drawing>
      </w: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1"/>
          <w:iCs w:val="1"/>
          <w:smallCaps w:val="0"/>
          <w:strike w:val="0"/>
          <w:color w:val="000000"/>
          <w:sz w:val="20"/>
          <w:szCs w:val="20"/>
          <w:u w:val="none"/>
          <w:shd w:fill="auto" w:val="clear"/>
          <w:vertAlign w:val="baseline"/>
        </w:rPr>
      </w:pPr>
      <w:bookmarkStart w:colFirst="0" w:colLast="0" w:name="_heading=h.qzuykyfla741" w:id="0"/>
      <w:bookmarkEnd w:id="0"/>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Interactive Original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hyperlink r:id="rId10">
        <w:r w:rsidDel="00000000" w:rsidR="00000000" w:rsidRPr="00000000">
          <w:rPr>
            <w:rFonts w:ascii="Calibri" w:cs="Calibri" w:eastAsia="Calibri" w:hAnsi="Calibri"/>
            <w:b w:val="0"/>
            <w:bCs w:val="0"/>
            <w:i w:val="1"/>
            <w:iCs w:val="1"/>
            <w:smallCaps w:val="0"/>
            <w:strike w:val="0"/>
            <w:color w:val="0000ff"/>
            <w:sz w:val="20"/>
            <w:szCs w:val="20"/>
            <w:u w:val="single"/>
            <w:shd w:fill="auto" w:val="clear"/>
            <w:vertAlign w:val="baseline"/>
            <w:rtl w:val="0"/>
          </w:rPr>
          <w:t xml:space="preserve">https://www.bls.gov/charts/state-employment-and-unemployment/state-unemployment-rates-map.htm</w:t>
        </w:r>
      </w:hyperlink>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tbl>
      <w:tblPr>
        <w:tblStyle w:val="Table5"/>
        <w:tblW w:w="8430.0" w:type="dxa"/>
        <w:jc w:val="left"/>
        <w:tblInd w:w="930.0" w:type="dxa"/>
        <w:tblLayout w:type="fixed"/>
        <w:tblLook w:val="0000"/>
      </w:tblPr>
      <w:tblGrid>
        <w:gridCol w:w="2220"/>
        <w:gridCol w:w="6210"/>
        <w:tblGridChange w:id="0">
          <w:tblGrid>
            <w:gridCol w:w="2220"/>
            <w:gridCol w:w="6210"/>
          </w:tblGrid>
        </w:tblGridChange>
      </w:tblGrid>
      <w:tr>
        <w:trPr>
          <w:cantSplit w:val="0"/>
          <w:trHeight w:val="1295" w:hRule="atLeast"/>
          <w:tblHeader w:val="0"/>
        </w:trPr>
        <w:tc>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63" w:lineRule="auto"/>
              <w:ind w:left="48" w:right="356" w:firstLine="0"/>
              <w:jc w:val="left"/>
              <w:rPr>
                <w:rFonts w:ascii="Calibri" w:cs="Calibri" w:eastAsia="Calibri" w:hAnsi="Calibri"/>
                <w:b w:val="1"/>
                <w:bCs w:val="1"/>
                <w:i w:val="0"/>
                <w:iCs w:val="0"/>
                <w:smallCaps w:val="0"/>
                <w:strike w:val="0"/>
                <w:color w:val="ee0000"/>
                <w:sz w:val="66"/>
                <w:szCs w:val="66"/>
                <w:u w:val="none"/>
                <w:shd w:fill="auto" w:val="clear"/>
                <w:vertAlign w:val="baseline"/>
              </w:rPr>
            </w:pPr>
            <w:bookmarkStart w:colFirst="0" w:colLast="0" w:name="_heading=h.bke1cfabtt3f" w:id="1"/>
            <w:bookmarkEnd w:id="1"/>
            <w:r w:rsidDel="00000000" w:rsidR="00000000" w:rsidRPr="00000000">
              <w:rPr>
                <w:rFonts w:ascii="Calibri" w:cs="Calibri" w:eastAsia="Calibri" w:hAnsi="Calibri"/>
                <w:b w:val="1"/>
                <w:bCs w:val="1"/>
                <w:i w:val="0"/>
                <w:iCs w:val="0"/>
                <w:smallCaps w:val="0"/>
                <w:strike w:val="0"/>
                <w:color w:val="ee0000"/>
                <w:sz w:val="66"/>
                <w:szCs w:val="66"/>
                <w:u w:val="none"/>
                <w:shd w:fill="auto" w:val="clear"/>
                <w:vertAlign w:val="baseline"/>
                <w:rtl w:val="0"/>
              </w:rPr>
              <w:t xml:space="preserve">-42.6k</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523"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CA Employment</w:t>
            </w:r>
          </w:p>
        </w:tc>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Employment fell by 42,600 (seasonally adjusted) in the preliminary estimate and was down 41,100 for the year.</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Nationally, total employment was down 266,000 in the preliminary estimate for the month, and off 1.3 million for the year.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F">
      <w:pPr>
        <w:rPr>
          <w:b w:val="1"/>
          <w:bCs w:val="1"/>
          <w:sz w:val="28"/>
          <w:szCs w:val="28"/>
        </w:rPr>
      </w:pPr>
      <w:r w:rsidDel="00000000" w:rsidR="00000000" w:rsidRPr="00000000">
        <w:rPr>
          <w:rtl w:val="0"/>
        </w:rPr>
      </w:r>
    </w:p>
    <w:tbl>
      <w:tblPr>
        <w:tblStyle w:val="Table6"/>
        <w:tblW w:w="8364.0" w:type="dxa"/>
        <w:jc w:val="left"/>
        <w:tblInd w:w="990.0" w:type="dxa"/>
        <w:tblLayout w:type="fixed"/>
        <w:tblLook w:val="0000"/>
      </w:tblPr>
      <w:tblGrid>
        <w:gridCol w:w="2160"/>
        <w:gridCol w:w="6204"/>
        <w:tblGridChange w:id="0">
          <w:tblGrid>
            <w:gridCol w:w="2160"/>
            <w:gridCol w:w="6204"/>
          </w:tblGrid>
        </w:tblGridChange>
      </w:tblGrid>
      <w:tr>
        <w:trPr>
          <w:cantSplit w:val="0"/>
          <w:trHeight w:val="1295" w:hRule="atLeast"/>
          <w:tblHeader w:val="0"/>
        </w:trPr>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63" w:lineRule="auto"/>
              <w:ind w:left="48" w:right="523" w:firstLine="0"/>
              <w:jc w:val="center"/>
              <w:rPr>
                <w:rFonts w:ascii="Calibri" w:cs="Calibri" w:eastAsia="Calibri" w:hAnsi="Calibri"/>
                <w:b w:val="1"/>
                <w:bCs w:val="1"/>
                <w:i w:val="0"/>
                <w:iCs w:val="0"/>
                <w:smallCaps w:val="0"/>
                <w:strike w:val="0"/>
                <w:color w:val="ee0000"/>
                <w:sz w:val="66"/>
                <w:szCs w:val="66"/>
                <w:u w:val="none"/>
                <w:shd w:fill="auto" w:val="clear"/>
                <w:vertAlign w:val="baseline"/>
              </w:rPr>
            </w:pPr>
            <w:r w:rsidDel="00000000" w:rsidR="00000000" w:rsidRPr="00000000">
              <w:rPr>
                <w:rFonts w:ascii="Calibri" w:cs="Calibri" w:eastAsia="Calibri" w:hAnsi="Calibri"/>
                <w:b w:val="1"/>
                <w:bCs w:val="1"/>
                <w:i w:val="0"/>
                <w:iCs w:val="0"/>
                <w:smallCaps w:val="0"/>
                <w:strike w:val="0"/>
                <w:color w:val="ee0000"/>
                <w:sz w:val="66"/>
                <w:szCs w:val="66"/>
                <w:u w:val="none"/>
                <w:shd w:fill="auto" w:val="clear"/>
                <w:vertAlign w:val="baseline"/>
                <w:rtl w:val="0"/>
              </w:rPr>
              <w:t xml:space="preserve">62.1%</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523"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CA Labor Force Participation Rate</w:t>
            </w:r>
          </w:p>
        </w:tc>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California labor force (seasonally adjusted) edged down by 50,100, with the labor force participation rate level falling 0.2 point to 62.1%.  The US labor force was little changed with a loss of 92,000, pushing the participation rate down 0.1 point to 61.8%. </w:t>
            </w:r>
          </w:p>
        </w:tc>
      </w:tr>
    </w:tbl>
    <w:p w:rsidR="00000000" w:rsidDel="00000000" w:rsidP="00000000" w:rsidRDefault="00000000" w:rsidRPr="00000000" w14:paraId="000000D3">
      <w:pPr>
        <w:rPr>
          <w:b w:val="1"/>
          <w:bCs w:val="1"/>
          <w:sz w:val="28"/>
          <w:szCs w:val="28"/>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 w:line="259" w:lineRule="auto"/>
        <w:ind w:left="0" w:right="403" w:firstLine="0"/>
        <w:jc w:val="left"/>
        <w:rPr>
          <w:rFonts w:ascii="Calibri" w:cs="Calibri" w:eastAsia="Calibri" w:hAnsi="Calibri"/>
          <w:b w:val="1"/>
          <w:bCs w:val="1"/>
          <w:i w:val="0"/>
          <w:iCs w:val="0"/>
          <w:smallCaps w:val="0"/>
          <w:strike w:val="0"/>
          <w:color w:val="000000"/>
          <w:sz w:val="27"/>
          <w:szCs w:val="27"/>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Employment </w:t>
      </w:r>
      <w:r w:rsidDel="00000000" w:rsidR="00000000" w:rsidRPr="00000000">
        <w:rPr>
          <w:rFonts w:ascii="Calibri" w:cs="Calibri" w:eastAsia="Calibri" w:hAnsi="Calibri"/>
          <w:b w:val="1"/>
          <w:bCs w:val="1"/>
          <w:i w:val="0"/>
          <w:iCs w:val="0"/>
          <w:smallCaps w:val="0"/>
          <w:strike w:val="0"/>
          <w:color w:val="000000"/>
          <w:sz w:val="27"/>
          <w:szCs w:val="27"/>
          <w:u w:val="none"/>
          <w:shd w:fill="auto" w:val="clear"/>
          <w:vertAlign w:val="baseline"/>
          <w:rtl w:val="0"/>
        </w:rPr>
        <w:t xml:space="preserve">Recovery Progress</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Due to the weak labor force numbers, California again remained just shy of recovery to its pre-pandemic employment levels.  Adjusted by size, California’s performance edged down to 44</w:t>
      </w:r>
      <w:r w:rsidDel="00000000" w:rsidR="00000000" w:rsidRPr="00000000">
        <w:rPr>
          <w:vertAlign w:val="superscript"/>
          <w:rtl w:val="0"/>
        </w:rPr>
        <w:t xml:space="preserve">th</w:t>
      </w:r>
      <w:r w:rsidDel="00000000" w:rsidR="00000000" w:rsidRPr="00000000">
        <w:rPr>
          <w:rtl w:val="0"/>
        </w:rPr>
        <w:t xml:space="preserve"> worst among the states and DC.  As indicated in the chart, states with lower tax and lower regulatory burdens—including several adopting lower individual and business tax rates in recent years—have been far more successful in expanding employment opportunities for their populations.  </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jc w:val="center"/>
        <w:rPr/>
      </w:pPr>
      <w:r w:rsidDel="00000000" w:rsidR="00000000" w:rsidRPr="00000000">
        <w:rPr/>
        <w:drawing>
          <wp:inline distB="0" distT="0" distL="0" distR="0">
            <wp:extent cx="4408531" cy="6040487"/>
            <wp:effectExtent b="0" l="0" r="0" t="0"/>
            <wp:docPr id="3"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4408531" cy="6040487"/>
                    </a:xfrm>
                    <a:prstGeom prst="rect"/>
                    <a:ln/>
                  </pic:spPr>
                </pic:pic>
              </a:graphicData>
            </a:graphic>
          </wp:inline>
        </w:drawing>
      </w:r>
      <w:r w:rsidDel="00000000" w:rsidR="00000000" w:rsidRPr="00000000">
        <w:rPr>
          <w:rtl w:val="0"/>
        </w:rPr>
      </w:r>
    </w:p>
    <w:p w:rsidR="00000000" w:rsidDel="00000000" w:rsidP="00000000" w:rsidRDefault="00000000" w:rsidRPr="00000000" w14:paraId="000000D9">
      <w:pP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DA">
      <w:pPr>
        <w:rPr>
          <w:b w:val="1"/>
          <w:bCs w:val="1"/>
          <w:sz w:val="28"/>
          <w:szCs w:val="28"/>
        </w:rPr>
      </w:pPr>
      <w:bookmarkStart w:colFirst="0" w:colLast="0" w:name="_heading=h.tkw0nxp834ad" w:id="2"/>
      <w:bookmarkEnd w:id="2"/>
      <w:r w:rsidDel="00000000" w:rsidR="00000000" w:rsidRPr="00000000">
        <w:rPr>
          <w:b w:val="1"/>
          <w:bCs w:val="1"/>
          <w:sz w:val="28"/>
          <w:szCs w:val="28"/>
          <w:rtl w:val="0"/>
        </w:rPr>
        <w:t xml:space="preserve">Nonfarm Jobs</w:t>
      </w:r>
    </w:p>
    <w:tbl>
      <w:tblPr>
        <w:tblStyle w:val="Table7"/>
        <w:tblpPr w:leftFromText="180" w:rightFromText="180" w:topFromText="0" w:bottomFromText="0" w:vertAnchor="text" w:horzAnchor="text" w:tblpX="2367" w:tblpY="483"/>
        <w:tblW w:w="8355.0" w:type="dxa"/>
        <w:jc w:val="left"/>
        <w:tblLayout w:type="fixed"/>
        <w:tblLook w:val="0000"/>
      </w:tblPr>
      <w:tblGrid>
        <w:gridCol w:w="2239"/>
        <w:gridCol w:w="6116"/>
        <w:tblGridChange w:id="0">
          <w:tblGrid>
            <w:gridCol w:w="2239"/>
            <w:gridCol w:w="6116"/>
          </w:tblGrid>
        </w:tblGridChange>
      </w:tblGrid>
      <w:tr>
        <w:trPr>
          <w:cantSplit w:val="0"/>
          <w:trHeight w:val="1834" w:hRule="atLeast"/>
          <w:tblHeader w:val="0"/>
        </w:trPr>
        <w:tc>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63" w:lineRule="auto"/>
              <w:ind w:left="42" w:right="516" w:firstLine="0"/>
              <w:jc w:val="center"/>
              <w:rPr>
                <w:rFonts w:ascii="Calibri" w:cs="Calibri" w:eastAsia="Calibri" w:hAnsi="Calibri"/>
                <w:b w:val="1"/>
                <w:bCs w:val="1"/>
                <w:i w:val="0"/>
                <w:iCs w:val="0"/>
                <w:smallCaps w:val="0"/>
                <w:strike w:val="0"/>
                <w:color w:val="ee0000"/>
                <w:sz w:val="66"/>
                <w:szCs w:val="66"/>
                <w:u w:val="none"/>
                <w:shd w:fill="auto" w:val="clear"/>
                <w:vertAlign w:val="baseline"/>
              </w:rPr>
            </w:pPr>
            <w:bookmarkStart w:colFirst="0" w:colLast="0" w:name="_heading=h.3oqmyyk5aja6" w:id="3"/>
            <w:bookmarkEnd w:id="3"/>
            <w:r w:rsidDel="00000000" w:rsidR="00000000" w:rsidRPr="00000000">
              <w:rPr>
                <w:rFonts w:ascii="Calibri" w:cs="Calibri" w:eastAsia="Calibri" w:hAnsi="Calibri"/>
                <w:b w:val="1"/>
                <w:bCs w:val="1"/>
                <w:i w:val="0"/>
                <w:iCs w:val="0"/>
                <w:smallCaps w:val="0"/>
                <w:strike w:val="0"/>
                <w:color w:val="ee0000"/>
                <w:sz w:val="66"/>
                <w:szCs w:val="66"/>
                <w:u w:val="none"/>
                <w:shd w:fill="auto" w:val="clear"/>
                <w:vertAlign w:val="baseline"/>
                <w:rtl w:val="0"/>
              </w:rPr>
              <w:t xml:space="preserve">-3.3k</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50" w:right="526" w:firstLine="2.0000000000000018"/>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Nonfarm Jobs Change </w:t>
            </w:r>
          </w:p>
        </w:tc>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52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Nonfarm wage and salary jobs (seasonally adjusted) were essentially unchanged with a loss of 3,300, while March was revised up by 8,800 to a gain of 37,500, largely reflecting the end of the strikes that affected the February numbers.</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52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52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 the US as a whole, nonfarm jobs rose 115,000 in the April preliminary estimate.</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52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52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jc w:val="center"/>
        <w:rPr>
          <w:b w:val="1"/>
          <w:bCs w:val="1"/>
        </w:rPr>
      </w:pPr>
      <w:r w:rsidDel="00000000" w:rsidR="00000000" w:rsidRPr="00000000">
        <w:rPr>
          <w:rtl w:val="0"/>
        </w:rPr>
      </w:r>
    </w:p>
    <w:p w:rsidR="00000000" w:rsidDel="00000000" w:rsidP="00000000" w:rsidRDefault="00000000" w:rsidRPr="00000000" w14:paraId="000000EC">
      <w:pPr>
        <w:rPr>
          <w:b w:val="1"/>
          <w:bCs w:val="1"/>
          <w:sz w:val="28"/>
          <w:szCs w:val="28"/>
        </w:rPr>
      </w:pPr>
      <w:r w:rsidDel="00000000" w:rsidR="00000000" w:rsidRPr="00000000">
        <w:rPr>
          <w:b w:val="1"/>
          <w:bCs w:val="1"/>
          <w:sz w:val="28"/>
          <w:szCs w:val="28"/>
          <w:rtl w:val="0"/>
        </w:rPr>
        <w:t xml:space="preserve">Recovery Progress:  CA Nonfarm Jobs vs. Other States</w:t>
      </w:r>
    </w:p>
    <w:p w:rsidR="00000000" w:rsidDel="00000000" w:rsidP="00000000" w:rsidRDefault="00000000" w:rsidRPr="00000000" w14:paraId="000000ED">
      <w:pPr>
        <w:rPr>
          <w:b w:val="1"/>
          <w:bCs w:val="1"/>
          <w:sz w:val="28"/>
          <w:szCs w:val="28"/>
        </w:rPr>
      </w:pPr>
      <w:r w:rsidDel="00000000" w:rsidR="00000000" w:rsidRPr="00000000">
        <w:rPr>
          <w:rtl w:val="0"/>
        </w:rPr>
      </w:r>
    </w:p>
    <w:p w:rsidR="00000000" w:rsidDel="00000000" w:rsidP="00000000" w:rsidRDefault="00000000" w:rsidRPr="00000000" w14:paraId="000000EE">
      <w:pPr>
        <w:rPr>
          <w:b w:val="1"/>
          <w:bCs w:val="1"/>
          <w:sz w:val="28"/>
          <w:szCs w:val="28"/>
        </w:rPr>
      </w:pPr>
      <w:r w:rsidDel="00000000" w:rsidR="00000000" w:rsidRPr="00000000">
        <w:rPr>
          <w:rtl w:val="0"/>
        </w:rPr>
      </w:r>
    </w:p>
    <w:p w:rsidR="00000000" w:rsidDel="00000000" w:rsidP="00000000" w:rsidRDefault="00000000" w:rsidRPr="00000000" w14:paraId="000000EF">
      <w:pPr>
        <w:rPr>
          <w:b w:val="1"/>
          <w:bCs w:val="1"/>
          <w:sz w:val="28"/>
          <w:szCs w:val="28"/>
        </w:rPr>
      </w:pPr>
      <w:r w:rsidDel="00000000" w:rsidR="00000000" w:rsidRPr="00000000">
        <w:rPr>
          <w:rtl w:val="0"/>
        </w:rPr>
      </w:r>
    </w:p>
    <w:p w:rsidR="00000000" w:rsidDel="00000000" w:rsidP="00000000" w:rsidRDefault="00000000" w:rsidRPr="00000000" w14:paraId="000000F0">
      <w:pPr>
        <w:jc w:val="center"/>
        <w:rPr>
          <w:b w:val="1"/>
          <w:bCs w:val="1"/>
          <w:sz w:val="28"/>
          <w:szCs w:val="28"/>
        </w:rPr>
      </w:pPr>
      <w:r w:rsidDel="00000000" w:rsidR="00000000" w:rsidRPr="00000000">
        <w:rPr/>
        <w:drawing>
          <wp:inline distB="0" distT="0" distL="0" distR="0">
            <wp:extent cx="4488784" cy="3749320"/>
            <wp:effectExtent b="0" l="0" r="0" t="0"/>
            <wp:docPr id="6" name="image8.png"/>
            <a:graphic>
              <a:graphicData uri="http://schemas.openxmlformats.org/drawingml/2006/picture">
                <pic:pic>
                  <pic:nvPicPr>
                    <pic:cNvPr id="0" name="image8.png"/>
                    <pic:cNvPicPr preferRelativeResize="0"/>
                  </pic:nvPicPr>
                  <pic:blipFill>
                    <a:blip r:embed="rId12"/>
                    <a:srcRect b="0" l="0" r="0" t="0"/>
                    <a:stretch>
                      <a:fillRect/>
                    </a:stretch>
                  </pic:blipFill>
                  <pic:spPr>
                    <a:xfrm>
                      <a:off x="0" y="0"/>
                      <a:ext cx="4488784" cy="3749320"/>
                    </a:xfrm>
                    <a:prstGeom prst="rect"/>
                    <a:ln/>
                  </pic:spPr>
                </pic:pic>
              </a:graphicData>
            </a:graphic>
          </wp:inline>
        </w:drawing>
      </w: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1"/>
          <w:iCs w:val="1"/>
          <w:smallCaps w:val="0"/>
          <w:strike w:val="0"/>
          <w:color w:val="000000"/>
          <w:sz w:val="20"/>
          <w:szCs w:val="20"/>
          <w:u w:val="none"/>
          <w:shd w:fill="auto" w:val="clear"/>
          <w:vertAlign w:val="baseline"/>
        </w:rPr>
      </w:pPr>
      <w:bookmarkStart w:colFirst="0" w:colLast="0" w:name="_heading=h.fnsbzj3st20j" w:id="4"/>
      <w:bookmarkEnd w:id="4"/>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Interactive Original:  </w:t>
      </w:r>
      <w:hyperlink r:id="rId13">
        <w:r w:rsidDel="00000000" w:rsidR="00000000" w:rsidRPr="00000000">
          <w:rPr>
            <w:rFonts w:ascii="Calibri" w:cs="Calibri" w:eastAsia="Calibri" w:hAnsi="Calibri"/>
            <w:b w:val="0"/>
            <w:bCs w:val="0"/>
            <w:i w:val="1"/>
            <w:iCs w:val="1"/>
            <w:smallCaps w:val="0"/>
            <w:strike w:val="0"/>
            <w:color w:val="0000ff"/>
            <w:sz w:val="20"/>
            <w:szCs w:val="20"/>
            <w:u w:val="single"/>
            <w:shd w:fill="auto" w:val="clear"/>
            <w:vertAlign w:val="baseline"/>
            <w:rtl w:val="0"/>
          </w:rPr>
          <w:t xml:space="preserve">https://www.bls.gov/charts/state-employment-and-unemployment/change-in-nonfarm-employment-by-state-map.htm</w:t>
        </w:r>
      </w:hyperlink>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3">
      <w:pPr>
        <w:jc w:val="cente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California’s monthly job performance in April was the second worst among the states and DC.  Adjusted for size, California’s recovery level compared to the pre-pandemic peaks remained the 25</w:t>
      </w:r>
      <w:r w:rsidDel="00000000" w:rsidR="00000000" w:rsidRPr="00000000">
        <w:rPr>
          <w:vertAlign w:val="superscript"/>
          <w:rtl w:val="0"/>
        </w:rPr>
        <w:t xml:space="preserve">th</w:t>
      </w:r>
      <w:r w:rsidDel="00000000" w:rsidR="00000000" w:rsidRPr="00000000">
        <w:rPr>
          <w:rtl w:val="0"/>
        </w:rPr>
        <w:t xml:space="preserve"> highest, while only 5 states and DC have yet to show positive recovery.</w:t>
      </w:r>
    </w:p>
    <w:p w:rsidR="00000000" w:rsidDel="00000000" w:rsidP="00000000" w:rsidRDefault="00000000" w:rsidRPr="00000000" w14:paraId="000000F5">
      <w:pPr>
        <w:jc w:val="center"/>
        <w:rPr>
          <w:b w:val="1"/>
          <w:bCs w:val="1"/>
          <w:sz w:val="28"/>
          <w:szCs w:val="28"/>
        </w:rPr>
      </w:pPr>
      <w:r w:rsidDel="00000000" w:rsidR="00000000" w:rsidRPr="00000000">
        <w:rPr>
          <w:rtl w:val="0"/>
        </w:rPr>
      </w:r>
    </w:p>
    <w:p w:rsidR="00000000" w:rsidDel="00000000" w:rsidP="00000000" w:rsidRDefault="00000000" w:rsidRPr="00000000" w14:paraId="000000F6">
      <w:pPr>
        <w:jc w:val="center"/>
        <w:rPr>
          <w:b w:val="1"/>
          <w:bCs w:val="1"/>
          <w:sz w:val="28"/>
          <w:szCs w:val="28"/>
        </w:rPr>
      </w:pPr>
      <w:r w:rsidDel="00000000" w:rsidR="00000000" w:rsidRPr="00000000">
        <w:rPr>
          <w:b w:val="1"/>
          <w:bCs w:val="1"/>
          <w:sz w:val="28"/>
          <w:szCs w:val="28"/>
        </w:rPr>
        <w:drawing>
          <wp:inline distB="0" distT="0" distL="0" distR="0">
            <wp:extent cx="4426556" cy="5706839"/>
            <wp:effectExtent b="0" l="0" r="0" t="0"/>
            <wp:docPr id="5"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4426556" cy="5706839"/>
                    </a:xfrm>
                    <a:prstGeom prst="rect"/>
                    <a:ln/>
                  </pic:spPr>
                </pic:pic>
              </a:graphicData>
            </a:graphic>
          </wp:inline>
        </w:drawing>
      </w:r>
      <w:r w:rsidDel="00000000" w:rsidR="00000000" w:rsidRPr="00000000">
        <w:rPr>
          <w:rtl w:val="0"/>
        </w:rPr>
      </w:r>
    </w:p>
    <w:p w:rsidR="00000000" w:rsidDel="00000000" w:rsidP="00000000" w:rsidRDefault="00000000" w:rsidRPr="00000000" w14:paraId="000000F7">
      <w:pPr>
        <w:jc w:val="center"/>
        <w:rPr>
          <w:b w:val="1"/>
          <w:bCs w:val="1"/>
          <w:sz w:val="28"/>
          <w:szCs w:val="28"/>
        </w:rPr>
      </w:pPr>
      <w:r w:rsidDel="00000000" w:rsidR="00000000" w:rsidRPr="00000000">
        <w:rPr>
          <w:rtl w:val="0"/>
        </w:rPr>
      </w:r>
    </w:p>
    <w:p w:rsidR="00000000" w:rsidDel="00000000" w:rsidP="00000000" w:rsidRDefault="00000000" w:rsidRPr="00000000" w14:paraId="000000F8">
      <w:pPr>
        <w:rPr>
          <w:b w:val="1"/>
          <w:bCs w:val="1"/>
          <w:sz w:val="28"/>
          <w:szCs w:val="28"/>
        </w:rPr>
      </w:pPr>
      <w:r w:rsidDel="00000000" w:rsidR="00000000" w:rsidRPr="00000000">
        <w:rPr>
          <w:b w:val="1"/>
          <w:bCs w:val="1"/>
          <w:sz w:val="28"/>
          <w:szCs w:val="28"/>
          <w:rtl w:val="0"/>
        </w:rPr>
        <w:t xml:space="preserve">Wages &amp; Hours</w:t>
      </w:r>
    </w:p>
    <w:p w:rsidR="00000000" w:rsidDel="00000000" w:rsidP="00000000" w:rsidRDefault="00000000" w:rsidRPr="00000000" w14:paraId="000000F9">
      <w:pPr>
        <w:rPr>
          <w:b w:val="1"/>
          <w:bCs w:val="1"/>
          <w:sz w:val="28"/>
          <w:szCs w:val="28"/>
        </w:rPr>
      </w:pPr>
      <w:r w:rsidDel="00000000" w:rsidR="00000000" w:rsidRPr="00000000">
        <w:rPr>
          <w:rtl w:val="0"/>
        </w:rPr>
      </w:r>
    </w:p>
    <w:tbl>
      <w:tblPr>
        <w:tblStyle w:val="Table8"/>
        <w:tblpPr w:leftFromText="180" w:rightFromText="180" w:topFromText="0" w:bottomFromText="0" w:vertAnchor="text" w:horzAnchor="text" w:tblpX="2367" w:tblpY="483"/>
        <w:tblW w:w="8355.0" w:type="dxa"/>
        <w:jc w:val="left"/>
        <w:tblLayout w:type="fixed"/>
        <w:tblLook w:val="0000"/>
      </w:tblPr>
      <w:tblGrid>
        <w:gridCol w:w="2239"/>
        <w:gridCol w:w="6116"/>
        <w:tblGridChange w:id="0">
          <w:tblGrid>
            <w:gridCol w:w="2239"/>
            <w:gridCol w:w="6116"/>
          </w:tblGrid>
        </w:tblGridChange>
      </w:tblGrid>
      <w:tr>
        <w:trPr>
          <w:cantSplit w:val="0"/>
          <w:trHeight w:val="1834" w:hRule="atLeast"/>
          <w:tblHeader w:val="0"/>
        </w:trPr>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63" w:lineRule="auto"/>
              <w:ind w:left="42" w:right="516" w:firstLine="0"/>
              <w:jc w:val="center"/>
              <w:rPr>
                <w:rFonts w:ascii="Calibri" w:cs="Calibri" w:eastAsia="Calibri" w:hAnsi="Calibri"/>
                <w:b w:val="1"/>
                <w:bCs w:val="1"/>
                <w:i w:val="0"/>
                <w:iCs w:val="0"/>
                <w:smallCaps w:val="0"/>
                <w:strike w:val="0"/>
                <w:color w:val="4f81bd"/>
                <w:sz w:val="66"/>
                <w:szCs w:val="66"/>
                <w:u w:val="none"/>
                <w:shd w:fill="auto" w:val="clear"/>
                <w:vertAlign w:val="baseline"/>
              </w:rPr>
            </w:pPr>
            <w:r w:rsidDel="00000000" w:rsidR="00000000" w:rsidRPr="00000000">
              <w:rPr>
                <w:rFonts w:ascii="Calibri" w:cs="Calibri" w:eastAsia="Calibri" w:hAnsi="Calibri"/>
                <w:b w:val="1"/>
                <w:bCs w:val="1"/>
                <w:i w:val="0"/>
                <w:iCs w:val="0"/>
                <w:smallCaps w:val="0"/>
                <w:strike w:val="0"/>
                <w:color w:val="4f81bd"/>
                <w:sz w:val="66"/>
                <w:szCs w:val="66"/>
                <w:u w:val="none"/>
                <w:shd w:fill="auto" w:val="clear"/>
                <w:vertAlign w:val="baseline"/>
                <w:rtl w:val="0"/>
              </w:rPr>
              <w:t xml:space="preserve">4.6%</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50" w:right="526" w:firstLine="2.0000000000000018"/>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12-month Change in Average Hourly Wage </w:t>
            </w:r>
          </w:p>
        </w:tc>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52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the seasonally unadjusted data, private average hourly wage rose 4.6% over the year, ranging from 0.6% in Information to 13.6% in Financial Activities.  These higher labor costs, however, continued to be partially offset by a reduction in average weekly hours in most industries, with an overall loss of 1.5% for all private sector jobs.  Combined with further offsets coming from 3.8% inflation in this period, as measured by US CPI, weekly earnings saw little real gain over the year.</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52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52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52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52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01">
      <w:pPr>
        <w:rPr>
          <w:b w:val="1"/>
          <w:bCs w:val="1"/>
          <w:sz w:val="28"/>
          <w:szCs w:val="28"/>
        </w:rPr>
      </w:pPr>
      <w:r w:rsidDel="00000000" w:rsidR="00000000" w:rsidRPr="00000000">
        <w:rPr>
          <w:rtl w:val="0"/>
        </w:rPr>
      </w:r>
    </w:p>
    <w:p w:rsidR="00000000" w:rsidDel="00000000" w:rsidP="00000000" w:rsidRDefault="00000000" w:rsidRPr="00000000" w14:paraId="00000102">
      <w:pPr>
        <w:rPr>
          <w:b w:val="1"/>
          <w:bCs w:val="1"/>
          <w:sz w:val="28"/>
          <w:szCs w:val="28"/>
        </w:rPr>
      </w:pPr>
      <w:r w:rsidDel="00000000" w:rsidR="00000000" w:rsidRPr="00000000">
        <w:rPr>
          <w:rtl w:val="0"/>
        </w:rPr>
      </w:r>
    </w:p>
    <w:p w:rsidR="00000000" w:rsidDel="00000000" w:rsidP="00000000" w:rsidRDefault="00000000" w:rsidRPr="00000000" w14:paraId="00000103">
      <w:pPr>
        <w:rPr>
          <w:b w:val="1"/>
          <w:bCs w:val="1"/>
          <w:sz w:val="28"/>
          <w:szCs w:val="28"/>
        </w:rPr>
      </w:pPr>
      <w:r w:rsidDel="00000000" w:rsidR="00000000" w:rsidRPr="00000000">
        <w:rPr>
          <w:rtl w:val="0"/>
        </w:rPr>
      </w:r>
    </w:p>
    <w:p w:rsidR="00000000" w:rsidDel="00000000" w:rsidP="00000000" w:rsidRDefault="00000000" w:rsidRPr="00000000" w14:paraId="00000104">
      <w:pPr>
        <w:rPr>
          <w:b w:val="1"/>
          <w:bCs w:val="1"/>
          <w:sz w:val="28"/>
          <w:szCs w:val="28"/>
        </w:rPr>
      </w:pPr>
      <w:r w:rsidDel="00000000" w:rsidR="00000000" w:rsidRPr="00000000">
        <w:rPr>
          <w:rtl w:val="0"/>
        </w:rPr>
      </w:r>
    </w:p>
    <w:p w:rsidR="00000000" w:rsidDel="00000000" w:rsidP="00000000" w:rsidRDefault="00000000" w:rsidRPr="00000000" w14:paraId="00000105">
      <w:pPr>
        <w:rPr>
          <w:b w:val="1"/>
          <w:bCs w:val="1"/>
          <w:sz w:val="28"/>
          <w:szCs w:val="28"/>
        </w:rPr>
      </w:pPr>
      <w:r w:rsidDel="00000000" w:rsidR="00000000" w:rsidRPr="00000000">
        <w:rPr>
          <w:rtl w:val="0"/>
        </w:rPr>
      </w:r>
    </w:p>
    <w:p w:rsidR="00000000" w:rsidDel="00000000" w:rsidP="00000000" w:rsidRDefault="00000000" w:rsidRPr="00000000" w14:paraId="00000106">
      <w:pPr>
        <w:rPr>
          <w:b w:val="1"/>
          <w:bCs w:val="1"/>
          <w:sz w:val="28"/>
          <w:szCs w:val="28"/>
        </w:rPr>
      </w:pPr>
      <w:r w:rsidDel="00000000" w:rsidR="00000000" w:rsidRPr="00000000">
        <w:rPr>
          <w:rtl w:val="0"/>
        </w:rPr>
      </w:r>
    </w:p>
    <w:p w:rsidR="00000000" w:rsidDel="00000000" w:rsidP="00000000" w:rsidRDefault="00000000" w:rsidRPr="00000000" w14:paraId="00000107">
      <w:pPr>
        <w:rPr>
          <w:b w:val="1"/>
          <w:bCs w:val="1"/>
          <w:sz w:val="28"/>
          <w:szCs w:val="28"/>
        </w:rPr>
      </w:pPr>
      <w:r w:rsidDel="00000000" w:rsidR="00000000" w:rsidRPr="00000000">
        <w:rPr>
          <w:rtl w:val="0"/>
        </w:rPr>
      </w:r>
    </w:p>
    <w:p w:rsidR="00000000" w:rsidDel="00000000" w:rsidP="00000000" w:rsidRDefault="00000000" w:rsidRPr="00000000" w14:paraId="00000108">
      <w:pPr>
        <w:jc w:val="center"/>
        <w:rPr>
          <w:b w:val="1"/>
          <w:bCs w:val="1"/>
          <w:sz w:val="28"/>
          <w:szCs w:val="28"/>
        </w:rPr>
      </w:pPr>
      <w:r w:rsidDel="00000000" w:rsidR="00000000" w:rsidRPr="00000000">
        <w:rPr>
          <w:rtl w:val="0"/>
        </w:rPr>
      </w:r>
    </w:p>
    <w:p w:rsidR="00000000" w:rsidDel="00000000" w:rsidP="00000000" w:rsidRDefault="00000000" w:rsidRPr="00000000" w14:paraId="00000109">
      <w:pPr>
        <w:jc w:val="center"/>
        <w:rPr>
          <w:b w:val="1"/>
          <w:bCs w:val="1"/>
          <w:sz w:val="28"/>
          <w:szCs w:val="28"/>
        </w:rPr>
      </w:pPr>
      <w:r w:rsidDel="00000000" w:rsidR="00000000" w:rsidRPr="00000000">
        <w:rPr>
          <w:rtl w:val="0"/>
        </w:rPr>
      </w:r>
    </w:p>
    <w:p w:rsidR="00000000" w:rsidDel="00000000" w:rsidP="00000000" w:rsidRDefault="00000000" w:rsidRPr="00000000" w14:paraId="0000010A">
      <w:pPr>
        <w:jc w:val="center"/>
        <w:rPr>
          <w:b w:val="1"/>
          <w:bCs w:val="1"/>
          <w:sz w:val="28"/>
          <w:szCs w:val="28"/>
        </w:rPr>
      </w:pPr>
      <w:r w:rsidDel="00000000" w:rsidR="00000000" w:rsidRPr="00000000">
        <w:rPr>
          <w:i w:val="1"/>
          <w:iCs w:val="1"/>
          <w:sz w:val="20"/>
          <w:szCs w:val="20"/>
        </w:rPr>
        <w:drawing>
          <wp:inline distB="0" distT="0" distL="0" distR="0">
            <wp:extent cx="4439067" cy="2282919"/>
            <wp:effectExtent b="0" l="0" r="0" t="0"/>
            <wp:docPr id="8"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4439067" cy="2282919"/>
                    </a:xfrm>
                    <a:prstGeom prst="rect"/>
                    <a:ln/>
                  </pic:spPr>
                </pic:pic>
              </a:graphicData>
            </a:graphic>
          </wp:inline>
        </w:drawing>
      </w:r>
      <w:r w:rsidDel="00000000" w:rsidR="00000000" w:rsidRPr="00000000">
        <w:rPr>
          <w:i w:val="1"/>
          <w:iCs w:val="1"/>
          <w:sz w:val="20"/>
          <w:szCs w:val="20"/>
          <w:rtl w:val="0"/>
        </w:rPr>
        <w:t xml:space="preserve"> </w:t>
      </w:r>
      <w:r w:rsidDel="00000000" w:rsidR="00000000" w:rsidRPr="00000000">
        <w:rPr>
          <w:rtl w:val="0"/>
        </w:rPr>
      </w:r>
    </w:p>
    <w:p w:rsidR="00000000" w:rsidDel="00000000" w:rsidP="00000000" w:rsidRDefault="00000000" w:rsidRPr="00000000" w14:paraId="0000010B">
      <w:pPr>
        <w:jc w:val="center"/>
        <w:rPr>
          <w:b w:val="1"/>
          <w:bCs w:val="1"/>
          <w:sz w:val="28"/>
          <w:szCs w:val="28"/>
        </w:rPr>
      </w:pPr>
      <w:r w:rsidDel="00000000" w:rsidR="00000000" w:rsidRPr="00000000">
        <w:rPr>
          <w:rtl w:val="0"/>
        </w:rPr>
      </w:r>
    </w:p>
    <w:p w:rsidR="00000000" w:rsidDel="00000000" w:rsidP="00000000" w:rsidRDefault="00000000" w:rsidRPr="00000000" w14:paraId="0000010C">
      <w:pPr>
        <w:rPr>
          <w:b w:val="1"/>
          <w:bCs w:val="1"/>
          <w:sz w:val="28"/>
          <w:szCs w:val="28"/>
        </w:rPr>
      </w:pPr>
      <w:r w:rsidDel="00000000" w:rsidR="00000000" w:rsidRPr="00000000">
        <w:rPr>
          <w:rtl w:val="0"/>
        </w:rPr>
      </w:r>
    </w:p>
    <w:p w:rsidR="00000000" w:rsidDel="00000000" w:rsidP="00000000" w:rsidRDefault="00000000" w:rsidRPr="00000000" w14:paraId="0000010D">
      <w:pPr>
        <w:rPr>
          <w:b w:val="1"/>
          <w:bCs w:val="1"/>
          <w:sz w:val="20"/>
          <w:szCs w:val="20"/>
        </w:rPr>
      </w:pPr>
      <w:r w:rsidDel="00000000" w:rsidR="00000000" w:rsidRPr="00000000">
        <w:rPr>
          <w:b w:val="1"/>
          <w:bCs w:val="1"/>
          <w:sz w:val="28"/>
          <w:szCs w:val="28"/>
          <w:rtl w:val="0"/>
        </w:rPr>
        <w:t xml:space="preserve">Unemployment Rates by Region   </w:t>
      </w: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Unemployment rates </w:t>
      </w:r>
      <w:r w:rsidDel="00000000" w:rsidR="00000000" w:rsidRPr="00000000">
        <w:rPr>
          <w:sz w:val="20"/>
          <w:szCs w:val="20"/>
          <w:rtl w:val="0"/>
        </w:rPr>
        <w:t xml:space="preserve">(not seasonally adjusted)</w:t>
      </w:r>
      <w:r w:rsidDel="00000000" w:rsidR="00000000" w:rsidRPr="00000000">
        <w:rPr>
          <w:rtl w:val="0"/>
        </w:rPr>
        <w:t xml:space="preserve"> were higher in all regions compared to pre-pandemic February 2020 levels other than the Central Coast, Upstate California, and Central Valley.   </w:t>
      </w:r>
    </w:p>
    <w:p w:rsidR="00000000" w:rsidDel="00000000" w:rsidP="00000000" w:rsidRDefault="00000000" w:rsidRPr="00000000" w14:paraId="00000110">
      <w:pPr>
        <w:rPr/>
      </w:pPr>
      <w:r w:rsidDel="00000000" w:rsidR="00000000" w:rsidRPr="00000000">
        <w:rPr>
          <w:rtl w:val="0"/>
        </w:rPr>
      </w:r>
    </w:p>
    <w:tbl>
      <w:tblPr>
        <w:tblStyle w:val="Table9"/>
        <w:tblW w:w="3600.0" w:type="dxa"/>
        <w:jc w:val="center"/>
        <w:tblLayout w:type="fixed"/>
        <w:tblLook w:val="0400"/>
      </w:tblPr>
      <w:tblGrid>
        <w:gridCol w:w="1908"/>
        <w:gridCol w:w="882"/>
        <w:gridCol w:w="810"/>
        <w:tblGridChange w:id="0">
          <w:tblGrid>
            <w:gridCol w:w="1908"/>
            <w:gridCol w:w="882"/>
            <w:gridCol w:w="810"/>
          </w:tblGrid>
        </w:tblGridChange>
      </w:tblGrid>
      <w:tr>
        <w:trPr>
          <w:cantSplit w:val="0"/>
          <w:trHeight w:val="300" w:hRule="atLeast"/>
          <w:tblHeader w:val="0"/>
        </w:trPr>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1">
            <w:pPr>
              <w:widowControl w:val="1"/>
              <w:rPr>
                <w:b w:val="1"/>
                <w:bCs w:val="1"/>
                <w:color w:val="000000"/>
                <w:sz w:val="20"/>
                <w:szCs w:val="20"/>
              </w:rPr>
            </w:pPr>
            <w:r w:rsidDel="00000000" w:rsidR="00000000" w:rsidRPr="00000000">
              <w:rPr>
                <w:b w:val="1"/>
                <w:bCs w:val="1"/>
                <w:color w:val="000000"/>
                <w:sz w:val="20"/>
                <w:szCs w:val="20"/>
                <w:rtl w:val="0"/>
              </w:rPr>
              <w:t xml:space="preserve">Unemployment Rate by Region</w:t>
            </w:r>
          </w:p>
        </w:tc>
      </w:tr>
      <w:tr>
        <w:trPr>
          <w:cantSplit w:val="0"/>
          <w:trHeight w:val="162" w:hRule="atLeast"/>
          <w:tblHeader w:val="0"/>
        </w:trPr>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4">
            <w:pPr>
              <w:widowControl w:val="1"/>
              <w:rPr>
                <w:i w:val="1"/>
                <w:iCs w:val="1"/>
                <w:color w:val="000000"/>
                <w:sz w:val="16"/>
                <w:szCs w:val="16"/>
              </w:rPr>
            </w:pPr>
            <w:r w:rsidDel="00000000" w:rsidR="00000000" w:rsidRPr="00000000">
              <w:rPr>
                <w:i w:val="1"/>
                <w:iCs w:val="1"/>
                <w:color w:val="000000"/>
                <w:sz w:val="16"/>
                <w:szCs w:val="16"/>
                <w:rtl w:val="0"/>
              </w:rPr>
              <w:t xml:space="preserve">Source:  EDD, not seasonally adjusted</w:t>
            </w:r>
          </w:p>
        </w:tc>
      </w:tr>
      <w:tr>
        <w:trPr>
          <w:cantSplit w:val="0"/>
          <w:trHeight w:val="162" w:hRule="atLeast"/>
          <w:tblHeader w:val="0"/>
        </w:trPr>
        <w:tc>
          <w:tcPr>
            <w:gridSpan w:val="3"/>
            <w:tcBorders>
              <w:top w:color="000000" w:space="0" w:sz="0" w:val="nil"/>
              <w:left w:color="000000" w:space="0" w:sz="0" w:val="nil"/>
              <w:bottom w:color="000000" w:space="0" w:sz="8" w:val="single"/>
              <w:right w:color="000000" w:space="0" w:sz="0" w:val="nil"/>
            </w:tcBorders>
            <w:vAlign w:val="bottom"/>
          </w:tcPr>
          <w:p w:rsidR="00000000" w:rsidDel="00000000" w:rsidP="00000000" w:rsidRDefault="00000000" w:rsidRPr="00000000" w14:paraId="00000117">
            <w:pPr>
              <w:widowControl w:val="1"/>
              <w:jc w:val="center"/>
              <w:rPr>
                <w:i w:val="1"/>
                <w:iCs w:val="1"/>
                <w:color w:val="000000"/>
                <w:sz w:val="10"/>
                <w:szCs w:val="10"/>
              </w:rPr>
            </w:pPr>
            <w:r w:rsidDel="00000000" w:rsidR="00000000" w:rsidRPr="00000000">
              <w:rPr>
                <w:i w:val="1"/>
                <w:iCs w:val="1"/>
                <w:color w:val="000000"/>
                <w:sz w:val="10"/>
                <w:szCs w:val="10"/>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A">
            <w:pPr>
              <w:widowControl w:val="1"/>
              <w:jc w:val="center"/>
              <w:rPr>
                <w:i w:val="1"/>
                <w:iCs w:val="1"/>
                <w:color w:val="000000"/>
                <w:sz w:val="10"/>
                <w:szCs w:val="1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bottom"/>
          </w:tcPr>
          <w:p w:rsidR="00000000" w:rsidDel="00000000" w:rsidP="00000000" w:rsidRDefault="00000000" w:rsidRPr="00000000" w14:paraId="0000011B">
            <w:pPr>
              <w:widowControl w:val="1"/>
              <w:jc w:val="right"/>
              <w:rPr>
                <w:b w:val="1"/>
                <w:bCs w:val="1"/>
                <w:color w:val="000000"/>
                <w:sz w:val="20"/>
                <w:szCs w:val="20"/>
              </w:rPr>
            </w:pPr>
            <w:r w:rsidDel="00000000" w:rsidR="00000000" w:rsidRPr="00000000">
              <w:rPr>
                <w:b w:val="1"/>
                <w:bCs w:val="1"/>
                <w:color w:val="000000"/>
                <w:sz w:val="20"/>
                <w:szCs w:val="20"/>
                <w:rtl w:val="0"/>
              </w:rPr>
              <w:t xml:space="preserve">Apr-26</w:t>
            </w:r>
          </w:p>
        </w:tc>
        <w:tc>
          <w:tcPr>
            <w:tcBorders>
              <w:top w:color="000000" w:space="0" w:sz="0" w:val="nil"/>
              <w:left w:color="000000" w:space="0" w:sz="0" w:val="nil"/>
              <w:bottom w:color="000000" w:space="0" w:sz="8" w:val="single"/>
              <w:right w:color="000000" w:space="0" w:sz="0" w:val="nil"/>
            </w:tcBorders>
            <w:vAlign w:val="bottom"/>
          </w:tcPr>
          <w:p w:rsidR="00000000" w:rsidDel="00000000" w:rsidP="00000000" w:rsidRDefault="00000000" w:rsidRPr="00000000" w14:paraId="0000011C">
            <w:pPr>
              <w:widowControl w:val="1"/>
              <w:jc w:val="right"/>
              <w:rPr>
                <w:b w:val="1"/>
                <w:bCs w:val="1"/>
                <w:color w:val="000000"/>
                <w:sz w:val="20"/>
                <w:szCs w:val="20"/>
              </w:rPr>
            </w:pPr>
            <w:r w:rsidDel="00000000" w:rsidR="00000000" w:rsidRPr="00000000">
              <w:rPr>
                <w:b w:val="1"/>
                <w:bCs w:val="1"/>
                <w:color w:val="000000"/>
                <w:sz w:val="20"/>
                <w:szCs w:val="20"/>
                <w:rtl w:val="0"/>
              </w:rPr>
              <w:t xml:space="preserve">Feb-20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D">
            <w:pPr>
              <w:widowControl w:val="1"/>
              <w:rPr>
                <w:i w:val="1"/>
                <w:iCs w:val="1"/>
                <w:color w:val="000000"/>
                <w:sz w:val="20"/>
                <w:szCs w:val="20"/>
              </w:rPr>
            </w:pPr>
            <w:r w:rsidDel="00000000" w:rsidR="00000000" w:rsidRPr="00000000">
              <w:rPr>
                <w:i w:val="1"/>
                <w:iCs w:val="1"/>
                <w:color w:val="000000"/>
                <w:sz w:val="20"/>
                <w:szCs w:val="20"/>
                <w:rtl w:val="0"/>
              </w:rPr>
              <w:t xml:space="preserve">California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E">
            <w:pPr>
              <w:widowControl w:val="1"/>
              <w:jc w:val="right"/>
              <w:rPr>
                <w:i w:val="1"/>
                <w:iCs w:val="1"/>
                <w:color w:val="000000"/>
                <w:sz w:val="20"/>
                <w:szCs w:val="20"/>
              </w:rPr>
            </w:pPr>
            <w:r w:rsidDel="00000000" w:rsidR="00000000" w:rsidRPr="00000000">
              <w:rPr>
                <w:i w:val="1"/>
                <w:iCs w:val="1"/>
                <w:color w:val="000000"/>
                <w:sz w:val="20"/>
                <w:szCs w:val="20"/>
                <w:rtl w:val="0"/>
              </w:rPr>
              <w:t xml:space="preserve">5.4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F">
            <w:pPr>
              <w:widowControl w:val="1"/>
              <w:jc w:val="right"/>
              <w:rPr>
                <w:i w:val="1"/>
                <w:iCs w:val="1"/>
                <w:color w:val="000000"/>
                <w:sz w:val="20"/>
                <w:szCs w:val="20"/>
              </w:rPr>
            </w:pPr>
            <w:r w:rsidDel="00000000" w:rsidR="00000000" w:rsidRPr="00000000">
              <w:rPr>
                <w:i w:val="1"/>
                <w:iCs w:val="1"/>
                <w:color w:val="000000"/>
                <w:sz w:val="20"/>
                <w:szCs w:val="20"/>
                <w:rtl w:val="0"/>
              </w:rPr>
              <w:t xml:space="preserve">4.3</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0">
            <w:pPr>
              <w:widowControl w:val="1"/>
              <w:rPr>
                <w:color w:val="000000"/>
                <w:sz w:val="20"/>
                <w:szCs w:val="20"/>
              </w:rPr>
            </w:pPr>
            <w:r w:rsidDel="00000000" w:rsidR="00000000" w:rsidRPr="00000000">
              <w:rPr>
                <w:color w:val="000000"/>
                <w:sz w:val="20"/>
                <w:szCs w:val="20"/>
                <w:rtl w:val="0"/>
              </w:rPr>
              <w:t xml:space="preserve">Orange County</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1">
            <w:pPr>
              <w:widowControl w:val="1"/>
              <w:jc w:val="right"/>
              <w:rPr>
                <w:color w:val="000000"/>
                <w:sz w:val="20"/>
                <w:szCs w:val="20"/>
              </w:rPr>
            </w:pPr>
            <w:r w:rsidDel="00000000" w:rsidR="00000000" w:rsidRPr="00000000">
              <w:rPr>
                <w:color w:val="000000"/>
                <w:sz w:val="20"/>
                <w:szCs w:val="20"/>
                <w:rtl w:val="0"/>
              </w:rPr>
              <w:t xml:space="preserve">4.1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2">
            <w:pPr>
              <w:widowControl w:val="1"/>
              <w:jc w:val="right"/>
              <w:rPr>
                <w:color w:val="000000"/>
                <w:sz w:val="20"/>
                <w:szCs w:val="20"/>
              </w:rPr>
            </w:pPr>
            <w:r w:rsidDel="00000000" w:rsidR="00000000" w:rsidRPr="00000000">
              <w:rPr>
                <w:color w:val="000000"/>
                <w:sz w:val="20"/>
                <w:szCs w:val="20"/>
                <w:rtl w:val="0"/>
              </w:rPr>
              <w:t xml:space="preserve">2.8</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3">
            <w:pPr>
              <w:widowControl w:val="1"/>
              <w:rPr>
                <w:color w:val="000000"/>
                <w:sz w:val="20"/>
                <w:szCs w:val="20"/>
              </w:rPr>
            </w:pPr>
            <w:r w:rsidDel="00000000" w:rsidR="00000000" w:rsidRPr="00000000">
              <w:rPr>
                <w:color w:val="000000"/>
                <w:sz w:val="20"/>
                <w:szCs w:val="20"/>
                <w:rtl w:val="0"/>
              </w:rPr>
              <w:t xml:space="preserve">Bay Area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4">
            <w:pPr>
              <w:widowControl w:val="1"/>
              <w:jc w:val="right"/>
              <w:rPr>
                <w:color w:val="000000"/>
                <w:sz w:val="20"/>
                <w:szCs w:val="20"/>
              </w:rPr>
            </w:pPr>
            <w:r w:rsidDel="00000000" w:rsidR="00000000" w:rsidRPr="00000000">
              <w:rPr>
                <w:color w:val="000000"/>
                <w:sz w:val="20"/>
                <w:szCs w:val="20"/>
                <w:rtl w:val="0"/>
              </w:rPr>
              <w:t xml:space="preserve">4.4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5">
            <w:pPr>
              <w:widowControl w:val="1"/>
              <w:jc w:val="right"/>
              <w:rPr>
                <w:color w:val="000000"/>
                <w:sz w:val="20"/>
                <w:szCs w:val="20"/>
              </w:rPr>
            </w:pPr>
            <w:r w:rsidDel="00000000" w:rsidR="00000000" w:rsidRPr="00000000">
              <w:rPr>
                <w:color w:val="000000"/>
                <w:sz w:val="20"/>
                <w:szCs w:val="20"/>
                <w:rtl w:val="0"/>
              </w:rPr>
              <w:t xml:space="preserve">2.7</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6">
            <w:pPr>
              <w:widowControl w:val="1"/>
              <w:rPr>
                <w:color w:val="000000"/>
                <w:sz w:val="20"/>
                <w:szCs w:val="20"/>
              </w:rPr>
            </w:pPr>
            <w:r w:rsidDel="00000000" w:rsidR="00000000" w:rsidRPr="00000000">
              <w:rPr>
                <w:color w:val="000000"/>
                <w:sz w:val="20"/>
                <w:szCs w:val="20"/>
                <w:rtl w:val="0"/>
              </w:rPr>
              <w:t xml:space="preserve">Sacramento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7">
            <w:pPr>
              <w:widowControl w:val="1"/>
              <w:jc w:val="right"/>
              <w:rPr>
                <w:color w:val="000000"/>
                <w:sz w:val="20"/>
                <w:szCs w:val="20"/>
              </w:rPr>
            </w:pPr>
            <w:r w:rsidDel="00000000" w:rsidR="00000000" w:rsidRPr="00000000">
              <w:rPr>
                <w:color w:val="000000"/>
                <w:sz w:val="20"/>
                <w:szCs w:val="20"/>
                <w:rtl w:val="0"/>
              </w:rPr>
              <w:t xml:space="preserve">5.0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8">
            <w:pPr>
              <w:widowControl w:val="1"/>
              <w:jc w:val="right"/>
              <w:rPr>
                <w:color w:val="000000"/>
                <w:sz w:val="20"/>
                <w:szCs w:val="20"/>
              </w:rPr>
            </w:pPr>
            <w:r w:rsidDel="00000000" w:rsidR="00000000" w:rsidRPr="00000000">
              <w:rPr>
                <w:color w:val="000000"/>
                <w:sz w:val="20"/>
                <w:szCs w:val="20"/>
                <w:rtl w:val="0"/>
              </w:rPr>
              <w:t xml:space="preserve">3.7</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9">
            <w:pPr>
              <w:widowControl w:val="1"/>
              <w:rPr>
                <w:color w:val="000000"/>
                <w:sz w:val="20"/>
                <w:szCs w:val="20"/>
              </w:rPr>
            </w:pPr>
            <w:r w:rsidDel="00000000" w:rsidR="00000000" w:rsidRPr="00000000">
              <w:rPr>
                <w:color w:val="000000"/>
                <w:sz w:val="20"/>
                <w:szCs w:val="20"/>
                <w:rtl w:val="0"/>
              </w:rPr>
              <w:t xml:space="preserve">San Diego/Imperial</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A">
            <w:pPr>
              <w:widowControl w:val="1"/>
              <w:jc w:val="right"/>
              <w:rPr>
                <w:color w:val="000000"/>
                <w:sz w:val="20"/>
                <w:szCs w:val="20"/>
              </w:rPr>
            </w:pPr>
            <w:r w:rsidDel="00000000" w:rsidR="00000000" w:rsidRPr="00000000">
              <w:rPr>
                <w:color w:val="000000"/>
                <w:sz w:val="20"/>
                <w:szCs w:val="20"/>
                <w:rtl w:val="0"/>
              </w:rPr>
              <w:t xml:space="preserve">5.3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B">
            <w:pPr>
              <w:widowControl w:val="1"/>
              <w:jc w:val="right"/>
              <w:rPr>
                <w:color w:val="000000"/>
                <w:sz w:val="20"/>
                <w:szCs w:val="20"/>
              </w:rPr>
            </w:pPr>
            <w:r w:rsidDel="00000000" w:rsidR="00000000" w:rsidRPr="00000000">
              <w:rPr>
                <w:color w:val="000000"/>
                <w:sz w:val="20"/>
                <w:szCs w:val="20"/>
                <w:rtl w:val="0"/>
              </w:rPr>
              <w:t xml:space="preserve">3.8</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C">
            <w:pPr>
              <w:widowControl w:val="1"/>
              <w:rPr>
                <w:color w:val="000000"/>
                <w:sz w:val="20"/>
                <w:szCs w:val="20"/>
              </w:rPr>
            </w:pPr>
            <w:r w:rsidDel="00000000" w:rsidR="00000000" w:rsidRPr="00000000">
              <w:rPr>
                <w:color w:val="000000"/>
                <w:sz w:val="20"/>
                <w:szCs w:val="20"/>
                <w:rtl w:val="0"/>
              </w:rPr>
              <w:t xml:space="preserve">Inland Empire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D">
            <w:pPr>
              <w:widowControl w:val="1"/>
              <w:jc w:val="right"/>
              <w:rPr>
                <w:color w:val="000000"/>
                <w:sz w:val="20"/>
                <w:szCs w:val="20"/>
              </w:rPr>
            </w:pPr>
            <w:r w:rsidDel="00000000" w:rsidR="00000000" w:rsidRPr="00000000">
              <w:rPr>
                <w:color w:val="000000"/>
                <w:sz w:val="20"/>
                <w:szCs w:val="20"/>
                <w:rtl w:val="0"/>
              </w:rPr>
              <w:t xml:space="preserve">5.4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E">
            <w:pPr>
              <w:widowControl w:val="1"/>
              <w:jc w:val="right"/>
              <w:rPr>
                <w:color w:val="000000"/>
                <w:sz w:val="20"/>
                <w:szCs w:val="20"/>
              </w:rPr>
            </w:pPr>
            <w:r w:rsidDel="00000000" w:rsidR="00000000" w:rsidRPr="00000000">
              <w:rPr>
                <w:color w:val="000000"/>
                <w:sz w:val="20"/>
                <w:szCs w:val="20"/>
                <w:rtl w:val="0"/>
              </w:rPr>
              <w:t xml:space="preserve">3.9</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F">
            <w:pPr>
              <w:widowControl w:val="1"/>
              <w:rPr>
                <w:color w:val="000000"/>
                <w:sz w:val="20"/>
                <w:szCs w:val="20"/>
              </w:rPr>
            </w:pPr>
            <w:r w:rsidDel="00000000" w:rsidR="00000000" w:rsidRPr="00000000">
              <w:rPr>
                <w:color w:val="000000"/>
                <w:sz w:val="20"/>
                <w:szCs w:val="20"/>
                <w:rtl w:val="0"/>
              </w:rPr>
              <w:t xml:space="preserve">Central Sierra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0">
            <w:pPr>
              <w:widowControl w:val="1"/>
              <w:jc w:val="right"/>
              <w:rPr>
                <w:color w:val="000000"/>
                <w:sz w:val="20"/>
                <w:szCs w:val="20"/>
              </w:rPr>
            </w:pPr>
            <w:r w:rsidDel="00000000" w:rsidR="00000000" w:rsidRPr="00000000">
              <w:rPr>
                <w:color w:val="000000"/>
                <w:sz w:val="20"/>
                <w:szCs w:val="20"/>
                <w:rtl w:val="0"/>
              </w:rPr>
              <w:t xml:space="preserve">5.6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1">
            <w:pPr>
              <w:widowControl w:val="1"/>
              <w:jc w:val="right"/>
              <w:rPr>
                <w:color w:val="000000"/>
                <w:sz w:val="20"/>
                <w:szCs w:val="20"/>
              </w:rPr>
            </w:pPr>
            <w:r w:rsidDel="00000000" w:rsidR="00000000" w:rsidRPr="00000000">
              <w:rPr>
                <w:color w:val="000000"/>
                <w:sz w:val="20"/>
                <w:szCs w:val="20"/>
                <w:rtl w:val="0"/>
              </w:rPr>
              <w:t xml:space="preserve">4.5</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2">
            <w:pPr>
              <w:widowControl w:val="1"/>
              <w:rPr>
                <w:color w:val="000000"/>
                <w:sz w:val="20"/>
                <w:szCs w:val="20"/>
              </w:rPr>
            </w:pPr>
            <w:r w:rsidDel="00000000" w:rsidR="00000000" w:rsidRPr="00000000">
              <w:rPr>
                <w:color w:val="000000"/>
                <w:sz w:val="20"/>
                <w:szCs w:val="20"/>
                <w:rtl w:val="0"/>
              </w:rPr>
              <w:t xml:space="preserve">Los Angeles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3">
            <w:pPr>
              <w:widowControl w:val="1"/>
              <w:jc w:val="right"/>
              <w:rPr>
                <w:color w:val="000000"/>
                <w:sz w:val="20"/>
                <w:szCs w:val="20"/>
              </w:rPr>
            </w:pPr>
            <w:r w:rsidDel="00000000" w:rsidR="00000000" w:rsidRPr="00000000">
              <w:rPr>
                <w:color w:val="000000"/>
                <w:sz w:val="20"/>
                <w:szCs w:val="20"/>
                <w:rtl w:val="0"/>
              </w:rPr>
              <w:t xml:space="preserve">5.6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4">
            <w:pPr>
              <w:widowControl w:val="1"/>
              <w:jc w:val="right"/>
              <w:rPr>
                <w:color w:val="000000"/>
                <w:sz w:val="20"/>
                <w:szCs w:val="20"/>
              </w:rPr>
            </w:pPr>
            <w:r w:rsidDel="00000000" w:rsidR="00000000" w:rsidRPr="00000000">
              <w:rPr>
                <w:color w:val="000000"/>
                <w:sz w:val="20"/>
                <w:szCs w:val="20"/>
                <w:rtl w:val="0"/>
              </w:rPr>
              <w:t xml:space="preserve">4.3</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5">
            <w:pPr>
              <w:widowControl w:val="1"/>
              <w:rPr>
                <w:color w:val="000000"/>
                <w:sz w:val="20"/>
                <w:szCs w:val="20"/>
              </w:rPr>
            </w:pPr>
            <w:r w:rsidDel="00000000" w:rsidR="00000000" w:rsidRPr="00000000">
              <w:rPr>
                <w:color w:val="000000"/>
                <w:sz w:val="20"/>
                <w:szCs w:val="20"/>
                <w:rtl w:val="0"/>
              </w:rPr>
              <w:t xml:space="preserve">Central Coast</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6">
            <w:pPr>
              <w:widowControl w:val="1"/>
              <w:jc w:val="right"/>
              <w:rPr>
                <w:color w:val="000000"/>
                <w:sz w:val="20"/>
                <w:szCs w:val="20"/>
              </w:rPr>
            </w:pPr>
            <w:r w:rsidDel="00000000" w:rsidR="00000000" w:rsidRPr="00000000">
              <w:rPr>
                <w:color w:val="000000"/>
                <w:sz w:val="20"/>
                <w:szCs w:val="20"/>
                <w:rtl w:val="0"/>
              </w:rPr>
              <w:t xml:space="preserve">5.9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7">
            <w:pPr>
              <w:widowControl w:val="1"/>
              <w:jc w:val="right"/>
              <w:rPr>
                <w:color w:val="000000"/>
                <w:sz w:val="20"/>
                <w:szCs w:val="20"/>
              </w:rPr>
            </w:pPr>
            <w:r w:rsidDel="00000000" w:rsidR="00000000" w:rsidRPr="00000000">
              <w:rPr>
                <w:color w:val="000000"/>
                <w:sz w:val="20"/>
                <w:szCs w:val="20"/>
                <w:rtl w:val="0"/>
              </w:rPr>
              <w:t xml:space="preserve">7.0</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8">
            <w:pPr>
              <w:widowControl w:val="1"/>
              <w:rPr>
                <w:color w:val="000000"/>
                <w:sz w:val="20"/>
                <w:szCs w:val="20"/>
              </w:rPr>
            </w:pPr>
            <w:r w:rsidDel="00000000" w:rsidR="00000000" w:rsidRPr="00000000">
              <w:rPr>
                <w:color w:val="000000"/>
                <w:sz w:val="20"/>
                <w:szCs w:val="20"/>
                <w:rtl w:val="0"/>
              </w:rPr>
              <w:t xml:space="preserve">Upstate California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9">
            <w:pPr>
              <w:widowControl w:val="1"/>
              <w:jc w:val="right"/>
              <w:rPr>
                <w:color w:val="000000"/>
                <w:sz w:val="20"/>
                <w:szCs w:val="20"/>
              </w:rPr>
            </w:pPr>
            <w:r w:rsidDel="00000000" w:rsidR="00000000" w:rsidRPr="00000000">
              <w:rPr>
                <w:color w:val="000000"/>
                <w:sz w:val="20"/>
                <w:szCs w:val="20"/>
                <w:rtl w:val="0"/>
              </w:rPr>
              <w:t xml:space="preserve">6.2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A">
            <w:pPr>
              <w:widowControl w:val="1"/>
              <w:jc w:val="right"/>
              <w:rPr>
                <w:color w:val="000000"/>
                <w:sz w:val="20"/>
                <w:szCs w:val="20"/>
              </w:rPr>
            </w:pPr>
            <w:r w:rsidDel="00000000" w:rsidR="00000000" w:rsidRPr="00000000">
              <w:rPr>
                <w:color w:val="000000"/>
                <w:sz w:val="20"/>
                <w:szCs w:val="20"/>
                <w:rtl w:val="0"/>
              </w:rPr>
              <w:t xml:space="preserve">6.3</w:t>
            </w:r>
          </w:p>
        </w:tc>
      </w:tr>
      <w:tr>
        <w:trPr>
          <w:cantSplit w:val="0"/>
          <w:trHeight w:val="315" w:hRule="atLeast"/>
          <w:tblHeader w:val="0"/>
        </w:trPr>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13B">
            <w:pPr>
              <w:widowControl w:val="1"/>
              <w:rPr>
                <w:color w:val="000000"/>
                <w:sz w:val="20"/>
                <w:szCs w:val="20"/>
              </w:rPr>
            </w:pPr>
            <w:r w:rsidDel="00000000" w:rsidR="00000000" w:rsidRPr="00000000">
              <w:rPr>
                <w:color w:val="000000"/>
                <w:sz w:val="20"/>
                <w:szCs w:val="20"/>
                <w:rtl w:val="0"/>
              </w:rPr>
              <w:t xml:space="preserve">Central Valley</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13C">
            <w:pPr>
              <w:widowControl w:val="1"/>
              <w:jc w:val="right"/>
              <w:rPr>
                <w:color w:val="000000"/>
                <w:sz w:val="20"/>
                <w:szCs w:val="20"/>
              </w:rPr>
            </w:pPr>
            <w:r w:rsidDel="00000000" w:rsidR="00000000" w:rsidRPr="00000000">
              <w:rPr>
                <w:color w:val="000000"/>
                <w:sz w:val="20"/>
                <w:szCs w:val="20"/>
                <w:rtl w:val="0"/>
              </w:rPr>
              <w:t xml:space="preserve">7.8</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13D">
            <w:pPr>
              <w:widowControl w:val="1"/>
              <w:jc w:val="right"/>
              <w:rPr>
                <w:color w:val="000000"/>
                <w:sz w:val="20"/>
                <w:szCs w:val="20"/>
              </w:rPr>
            </w:pPr>
            <w:r w:rsidDel="00000000" w:rsidR="00000000" w:rsidRPr="00000000">
              <w:rPr>
                <w:color w:val="000000"/>
                <w:sz w:val="20"/>
                <w:szCs w:val="20"/>
                <w:rtl w:val="0"/>
              </w:rPr>
              <w:t xml:space="preserve">8.4</w:t>
            </w:r>
          </w:p>
        </w:tc>
      </w:tr>
    </w:tbl>
    <w:p w:rsidR="00000000" w:rsidDel="00000000" w:rsidP="00000000" w:rsidRDefault="00000000" w:rsidRPr="00000000" w14:paraId="0000013E">
      <w:pPr>
        <w:jc w:val="center"/>
        <w:rPr/>
      </w:pPr>
      <w:r w:rsidDel="00000000" w:rsidR="00000000" w:rsidRPr="00000000">
        <w:rPr>
          <w:rtl w:val="0"/>
        </w:rPr>
      </w:r>
    </w:p>
    <w:p w:rsidR="00000000" w:rsidDel="00000000" w:rsidP="00000000" w:rsidRDefault="00000000" w:rsidRPr="00000000" w14:paraId="0000013F">
      <w:pPr>
        <w:rPr>
          <w:i w:val="1"/>
          <w:iCs w:val="1"/>
          <w:sz w:val="16"/>
          <w:szCs w:val="16"/>
        </w:rPr>
      </w:pPr>
      <w:r w:rsidDel="00000000" w:rsidR="00000000" w:rsidRPr="00000000">
        <w:rPr>
          <w:rtl w:val="0"/>
        </w:rPr>
      </w:r>
    </w:p>
    <w:p w:rsidR="00000000" w:rsidDel="00000000" w:rsidP="00000000" w:rsidRDefault="00000000" w:rsidRPr="00000000" w14:paraId="00000140">
      <w:pPr>
        <w:rPr>
          <w:b w:val="1"/>
          <w:bCs w:val="1"/>
          <w:sz w:val="20"/>
          <w:szCs w:val="20"/>
        </w:rPr>
      </w:pPr>
      <w:r w:rsidDel="00000000" w:rsidR="00000000" w:rsidRPr="00000000">
        <w:rPr>
          <w:b w:val="1"/>
          <w:bCs w:val="1"/>
          <w:sz w:val="28"/>
          <w:szCs w:val="28"/>
          <w:rtl w:val="0"/>
        </w:rPr>
        <w:t xml:space="preserve">Counties with Double-Digit Unemployment </w:t>
      </w:r>
      <w:r w:rsidDel="00000000" w:rsidR="00000000" w:rsidRPr="00000000">
        <w:rPr>
          <w:rtl w:val="0"/>
        </w:rPr>
      </w:r>
    </w:p>
    <w:p w:rsidR="00000000" w:rsidDel="00000000" w:rsidP="00000000" w:rsidRDefault="00000000" w:rsidRPr="00000000" w14:paraId="00000141">
      <w:pPr>
        <w:spacing w:before="240" w:lineRule="auto"/>
        <w:ind w:left="100" w:firstLine="0"/>
        <w:rPr>
          <w:b w:val="1"/>
          <w:bCs w:val="1"/>
          <w:sz w:val="20"/>
          <w:szCs w:val="20"/>
        </w:rPr>
      </w:pPr>
      <w:r w:rsidDel="00000000" w:rsidR="00000000" w:rsidRPr="00000000">
        <w:rPr>
          <w:rtl w:val="0"/>
        </w:rPr>
      </w:r>
    </w:p>
    <w:tbl>
      <w:tblPr>
        <w:tblStyle w:val="Table10"/>
        <w:tblW w:w="8336.0" w:type="dxa"/>
        <w:jc w:val="left"/>
        <w:tblInd w:w="1001.0" w:type="dxa"/>
        <w:tblLayout w:type="fixed"/>
        <w:tblLook w:val="0000"/>
      </w:tblPr>
      <w:tblGrid>
        <w:gridCol w:w="2239"/>
        <w:gridCol w:w="6097"/>
        <w:tblGridChange w:id="0">
          <w:tblGrid>
            <w:gridCol w:w="2239"/>
            <w:gridCol w:w="6097"/>
          </w:tblGrid>
        </w:tblGridChange>
      </w:tblGrid>
      <w:tr>
        <w:trPr>
          <w:cantSplit w:val="0"/>
          <w:trHeight w:val="1401" w:hRule="atLeast"/>
          <w:tblHeader w:val="0"/>
        </w:trPr>
        <w:tc>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72" w:lineRule="auto"/>
              <w:ind w:left="50" w:right="0" w:firstLine="0"/>
              <w:jc w:val="center"/>
              <w:rPr>
                <w:rFonts w:ascii="Calibri" w:cs="Calibri" w:eastAsia="Calibri" w:hAnsi="Calibri"/>
                <w:b w:val="1"/>
                <w:bCs w:val="1"/>
                <w:i w:val="0"/>
                <w:iCs w:val="0"/>
                <w:smallCaps w:val="0"/>
                <w:strike w:val="0"/>
                <w:color w:val="4f81bd"/>
                <w:sz w:val="66"/>
                <w:szCs w:val="66"/>
                <w:u w:val="none"/>
                <w:shd w:fill="auto" w:val="clear"/>
                <w:vertAlign w:val="baseline"/>
              </w:rPr>
            </w:pPr>
            <w:r w:rsidDel="00000000" w:rsidR="00000000" w:rsidRPr="00000000">
              <w:rPr>
                <w:rFonts w:ascii="Calibri" w:cs="Calibri" w:eastAsia="Calibri" w:hAnsi="Calibri"/>
                <w:b w:val="1"/>
                <w:bCs w:val="1"/>
                <w:i w:val="0"/>
                <w:iCs w:val="0"/>
                <w:smallCaps w:val="0"/>
                <w:strike w:val="0"/>
                <w:color w:val="4f81bd"/>
                <w:sz w:val="66"/>
                <w:szCs w:val="66"/>
                <w:u w:val="none"/>
                <w:shd w:fill="auto" w:val="clear"/>
                <w:vertAlign w:val="baseline"/>
                <w:rtl w:val="0"/>
              </w:rPr>
              <w:t xml:space="preserve">3</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11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Counties with Unemployment Above 10%</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 w:lineRule="auto"/>
              <w:ind w:left="71"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52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number of counties with an unemployment rate (not seasonally adjusted) at 10% was at only 3. The unadjusted rates ranged from 3.2% in Mono to 16.5% in Imperial.</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52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Pr>
        <w:drawing>
          <wp:inline distB="0" distT="0" distL="0" distR="0">
            <wp:extent cx="4489879" cy="3104796"/>
            <wp:effectExtent b="0" l="0" r="0" t="0"/>
            <wp:docPr id="7"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4489879" cy="3104796"/>
                    </a:xfrm>
                    <a:prstGeom prst="rect"/>
                    <a:ln/>
                  </pic:spPr>
                </pic:pic>
              </a:graphicData>
            </a:graphic>
          </wp:inline>
        </w:drawing>
      </w: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Unemployment Rate by Legislative District</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estimated unemployment rates are shown below for the highest and lowest districts.  The full data and methodology are available on the Center’s website.</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1"/>
        <w:tblW w:w="7120.0" w:type="dxa"/>
        <w:jc w:val="left"/>
        <w:tblLayout w:type="fixed"/>
        <w:tblLook w:val="0400"/>
      </w:tblPr>
      <w:tblGrid>
        <w:gridCol w:w="976"/>
        <w:gridCol w:w="2096"/>
        <w:gridCol w:w="976"/>
        <w:gridCol w:w="2096"/>
        <w:gridCol w:w="976"/>
        <w:tblGridChange w:id="0">
          <w:tblGrid>
            <w:gridCol w:w="976"/>
            <w:gridCol w:w="2096"/>
            <w:gridCol w:w="976"/>
            <w:gridCol w:w="2096"/>
            <w:gridCol w:w="976"/>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4D">
            <w:pPr>
              <w:widowControl w:val="1"/>
              <w:rPr>
                <w:color w:val="000000"/>
              </w:rPr>
            </w:pPr>
            <w:r w:rsidDel="00000000" w:rsidR="00000000" w:rsidRPr="00000000">
              <w:rPr>
                <w:color w:val="000000"/>
                <w:rtl w:val="0"/>
              </w:rPr>
              <w:t xml:space="preserve">Lowest</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4E">
            <w:pPr>
              <w:widowControl w:val="1"/>
              <w:rPr>
                <w:color w:val="000000"/>
                <w:sz w:val="18"/>
                <w:szCs w:val="18"/>
              </w:rPr>
            </w:pPr>
            <w:r w:rsidDel="00000000" w:rsidR="00000000" w:rsidRPr="00000000">
              <w:rPr>
                <w:color w:val="000000"/>
                <w:sz w:val="18"/>
                <w:szCs w:val="18"/>
                <w:rtl w:val="0"/>
              </w:rPr>
              <w:t xml:space="preserve">SD40 Jones (R)</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4F">
            <w:pPr>
              <w:widowControl w:val="1"/>
              <w:jc w:val="right"/>
              <w:rPr>
                <w:color w:val="000000"/>
                <w:sz w:val="18"/>
                <w:szCs w:val="18"/>
              </w:rPr>
            </w:pPr>
            <w:r w:rsidDel="00000000" w:rsidR="00000000" w:rsidRPr="00000000">
              <w:rPr>
                <w:color w:val="000000"/>
                <w:sz w:val="18"/>
                <w:szCs w:val="18"/>
                <w:rtl w:val="0"/>
              </w:rPr>
              <w:t xml:space="preserve">3.3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0">
            <w:pPr>
              <w:widowControl w:val="1"/>
              <w:rPr>
                <w:color w:val="000000"/>
                <w:sz w:val="18"/>
                <w:szCs w:val="18"/>
              </w:rPr>
            </w:pPr>
            <w:r w:rsidDel="00000000" w:rsidR="00000000" w:rsidRPr="00000000">
              <w:rPr>
                <w:color w:val="000000"/>
                <w:sz w:val="18"/>
                <w:szCs w:val="18"/>
                <w:rtl w:val="0"/>
              </w:rPr>
              <w:t xml:space="preserve">AD76 Maienschein (D)</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1">
            <w:pPr>
              <w:widowControl w:val="1"/>
              <w:jc w:val="right"/>
              <w:rPr>
                <w:color w:val="000000"/>
                <w:sz w:val="18"/>
                <w:szCs w:val="18"/>
              </w:rPr>
            </w:pPr>
            <w:r w:rsidDel="00000000" w:rsidR="00000000" w:rsidRPr="00000000">
              <w:rPr>
                <w:color w:val="000000"/>
                <w:sz w:val="18"/>
                <w:szCs w:val="18"/>
                <w:rtl w:val="0"/>
              </w:rPr>
              <w:t xml:space="preserve">3.1</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2">
            <w:pPr>
              <w:widowControl w:val="1"/>
              <w:jc w:val="right"/>
              <w:rPr>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3">
            <w:pPr>
              <w:widowControl w:val="1"/>
              <w:rPr>
                <w:color w:val="000000"/>
                <w:sz w:val="18"/>
                <w:szCs w:val="18"/>
              </w:rPr>
            </w:pPr>
            <w:r w:rsidDel="00000000" w:rsidR="00000000" w:rsidRPr="00000000">
              <w:rPr>
                <w:color w:val="000000"/>
                <w:sz w:val="18"/>
                <w:szCs w:val="18"/>
                <w:rtl w:val="0"/>
              </w:rPr>
              <w:t xml:space="preserve">SD13 Becker (D)</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4">
            <w:pPr>
              <w:widowControl w:val="1"/>
              <w:jc w:val="right"/>
              <w:rPr>
                <w:color w:val="000000"/>
                <w:sz w:val="18"/>
                <w:szCs w:val="18"/>
              </w:rPr>
            </w:pPr>
            <w:r w:rsidDel="00000000" w:rsidR="00000000" w:rsidRPr="00000000">
              <w:rPr>
                <w:color w:val="000000"/>
                <w:sz w:val="18"/>
                <w:szCs w:val="18"/>
                <w:rtl w:val="0"/>
              </w:rPr>
              <w:t xml:space="preserve">3.3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5">
            <w:pPr>
              <w:widowControl w:val="1"/>
              <w:rPr>
                <w:color w:val="000000"/>
                <w:sz w:val="18"/>
                <w:szCs w:val="18"/>
              </w:rPr>
            </w:pPr>
            <w:r w:rsidDel="00000000" w:rsidR="00000000" w:rsidRPr="00000000">
              <w:rPr>
                <w:color w:val="000000"/>
                <w:sz w:val="18"/>
                <w:szCs w:val="18"/>
                <w:rtl w:val="0"/>
              </w:rPr>
              <w:t xml:space="preserve">AD19 Ting (D)</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6">
            <w:pPr>
              <w:widowControl w:val="1"/>
              <w:jc w:val="right"/>
              <w:rPr>
                <w:color w:val="000000"/>
                <w:sz w:val="18"/>
                <w:szCs w:val="18"/>
              </w:rPr>
            </w:pPr>
            <w:r w:rsidDel="00000000" w:rsidR="00000000" w:rsidRPr="00000000">
              <w:rPr>
                <w:color w:val="000000"/>
                <w:sz w:val="18"/>
                <w:szCs w:val="18"/>
                <w:rtl w:val="0"/>
              </w:rPr>
              <w:t xml:space="preserve">3.2</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7">
            <w:pPr>
              <w:widowControl w:val="1"/>
              <w:jc w:val="right"/>
              <w:rPr>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8">
            <w:pPr>
              <w:widowControl w:val="1"/>
              <w:rPr>
                <w:color w:val="000000"/>
                <w:sz w:val="18"/>
                <w:szCs w:val="18"/>
              </w:rPr>
            </w:pPr>
            <w:r w:rsidDel="00000000" w:rsidR="00000000" w:rsidRPr="00000000">
              <w:rPr>
                <w:color w:val="000000"/>
                <w:sz w:val="18"/>
                <w:szCs w:val="18"/>
                <w:rtl w:val="0"/>
              </w:rPr>
              <w:t xml:space="preserve">SD38 Blakespear (D)</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9">
            <w:pPr>
              <w:widowControl w:val="1"/>
              <w:jc w:val="right"/>
              <w:rPr>
                <w:color w:val="000000"/>
                <w:sz w:val="18"/>
                <w:szCs w:val="18"/>
              </w:rPr>
            </w:pPr>
            <w:r w:rsidDel="00000000" w:rsidR="00000000" w:rsidRPr="00000000">
              <w:rPr>
                <w:color w:val="000000"/>
                <w:sz w:val="18"/>
                <w:szCs w:val="18"/>
                <w:rtl w:val="0"/>
              </w:rPr>
              <w:t xml:space="preserve">3.5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A">
            <w:pPr>
              <w:widowControl w:val="1"/>
              <w:rPr>
                <w:color w:val="000000"/>
                <w:sz w:val="18"/>
                <w:szCs w:val="18"/>
              </w:rPr>
            </w:pPr>
            <w:r w:rsidDel="00000000" w:rsidR="00000000" w:rsidRPr="00000000">
              <w:rPr>
                <w:color w:val="000000"/>
                <w:sz w:val="18"/>
                <w:szCs w:val="18"/>
                <w:rtl w:val="0"/>
              </w:rPr>
              <w:t xml:space="preserve">AD23 Berman (D)</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B">
            <w:pPr>
              <w:widowControl w:val="1"/>
              <w:jc w:val="right"/>
              <w:rPr>
                <w:color w:val="000000"/>
                <w:sz w:val="18"/>
                <w:szCs w:val="18"/>
              </w:rPr>
            </w:pPr>
            <w:r w:rsidDel="00000000" w:rsidR="00000000" w:rsidRPr="00000000">
              <w:rPr>
                <w:color w:val="000000"/>
                <w:sz w:val="18"/>
                <w:szCs w:val="18"/>
                <w:rtl w:val="0"/>
              </w:rPr>
              <w:t xml:space="preserve">3.2</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C">
            <w:pPr>
              <w:widowControl w:val="1"/>
              <w:jc w:val="right"/>
              <w:rPr>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D">
            <w:pPr>
              <w:widowControl w:val="1"/>
              <w:rPr>
                <w:color w:val="000000"/>
                <w:sz w:val="18"/>
                <w:szCs w:val="18"/>
              </w:rPr>
            </w:pPr>
            <w:r w:rsidDel="00000000" w:rsidR="00000000" w:rsidRPr="00000000">
              <w:rPr>
                <w:color w:val="000000"/>
                <w:sz w:val="18"/>
                <w:szCs w:val="18"/>
                <w:rtl w:val="0"/>
              </w:rPr>
              <w:t xml:space="preserve">SD11 Wiener (D)</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E">
            <w:pPr>
              <w:widowControl w:val="1"/>
              <w:jc w:val="right"/>
              <w:rPr>
                <w:color w:val="000000"/>
                <w:sz w:val="18"/>
                <w:szCs w:val="18"/>
              </w:rPr>
            </w:pPr>
            <w:r w:rsidDel="00000000" w:rsidR="00000000" w:rsidRPr="00000000">
              <w:rPr>
                <w:color w:val="000000"/>
                <w:sz w:val="18"/>
                <w:szCs w:val="18"/>
                <w:rtl w:val="0"/>
              </w:rPr>
              <w:t xml:space="preserve">3.5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F">
            <w:pPr>
              <w:widowControl w:val="1"/>
              <w:rPr>
                <w:color w:val="000000"/>
                <w:sz w:val="18"/>
                <w:szCs w:val="18"/>
              </w:rPr>
            </w:pPr>
            <w:r w:rsidDel="00000000" w:rsidR="00000000" w:rsidRPr="00000000">
              <w:rPr>
                <w:color w:val="000000"/>
                <w:sz w:val="18"/>
                <w:szCs w:val="18"/>
                <w:rtl w:val="0"/>
              </w:rPr>
              <w:t xml:space="preserve">AD16 Bauer-Kahan (D)</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0">
            <w:pPr>
              <w:widowControl w:val="1"/>
              <w:jc w:val="right"/>
              <w:rPr>
                <w:color w:val="000000"/>
                <w:sz w:val="18"/>
                <w:szCs w:val="18"/>
              </w:rPr>
            </w:pPr>
            <w:r w:rsidDel="00000000" w:rsidR="00000000" w:rsidRPr="00000000">
              <w:rPr>
                <w:color w:val="000000"/>
                <w:sz w:val="18"/>
                <w:szCs w:val="18"/>
                <w:rtl w:val="0"/>
              </w:rPr>
              <w:t xml:space="preserve">3.3</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1">
            <w:pPr>
              <w:widowControl w:val="1"/>
              <w:jc w:val="right"/>
              <w:rPr>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2">
            <w:pPr>
              <w:widowControl w:val="1"/>
              <w:rPr>
                <w:color w:val="000000"/>
                <w:sz w:val="18"/>
                <w:szCs w:val="18"/>
              </w:rPr>
            </w:pPr>
            <w:r w:rsidDel="00000000" w:rsidR="00000000" w:rsidRPr="00000000">
              <w:rPr>
                <w:color w:val="000000"/>
                <w:sz w:val="18"/>
                <w:szCs w:val="18"/>
                <w:rtl w:val="0"/>
              </w:rPr>
              <w:t xml:space="preserve">SD37 Min (D)</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3">
            <w:pPr>
              <w:widowControl w:val="1"/>
              <w:jc w:val="right"/>
              <w:rPr>
                <w:color w:val="000000"/>
                <w:sz w:val="18"/>
                <w:szCs w:val="18"/>
              </w:rPr>
            </w:pPr>
            <w:r w:rsidDel="00000000" w:rsidR="00000000" w:rsidRPr="00000000">
              <w:rPr>
                <w:color w:val="000000"/>
                <w:sz w:val="18"/>
                <w:szCs w:val="18"/>
                <w:rtl w:val="0"/>
              </w:rPr>
              <w:t xml:space="preserve">3.7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4">
            <w:pPr>
              <w:widowControl w:val="1"/>
              <w:rPr>
                <w:color w:val="000000"/>
                <w:sz w:val="18"/>
                <w:szCs w:val="18"/>
              </w:rPr>
            </w:pPr>
            <w:r w:rsidDel="00000000" w:rsidR="00000000" w:rsidRPr="00000000">
              <w:rPr>
                <w:color w:val="000000"/>
                <w:sz w:val="18"/>
                <w:szCs w:val="18"/>
                <w:rtl w:val="0"/>
              </w:rPr>
              <w:t xml:space="preserve">AD72 Dixon (R)</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5">
            <w:pPr>
              <w:widowControl w:val="1"/>
              <w:jc w:val="right"/>
              <w:rPr>
                <w:color w:val="000000"/>
                <w:sz w:val="18"/>
                <w:szCs w:val="18"/>
              </w:rPr>
            </w:pPr>
            <w:r w:rsidDel="00000000" w:rsidR="00000000" w:rsidRPr="00000000">
              <w:rPr>
                <w:color w:val="000000"/>
                <w:sz w:val="18"/>
                <w:szCs w:val="18"/>
                <w:rtl w:val="0"/>
              </w:rPr>
              <w:t xml:space="preserve">3.3</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6">
            <w:pPr>
              <w:widowControl w:val="1"/>
              <w:jc w:val="right"/>
              <w:rPr>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7">
            <w:pPr>
              <w:widowControl w:val="1"/>
              <w:rPr>
                <w:color w:val="000000"/>
                <w:sz w:val="18"/>
                <w:szCs w:val="18"/>
              </w:rPr>
            </w:pPr>
            <w:r w:rsidDel="00000000" w:rsidR="00000000" w:rsidRPr="00000000">
              <w:rPr>
                <w:color w:val="000000"/>
                <w:sz w:val="18"/>
                <w:szCs w:val="18"/>
                <w:rtl w:val="0"/>
              </w:rPr>
              <w:t xml:space="preserve">SD10 Wahab (D)</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8">
            <w:pPr>
              <w:widowControl w:val="1"/>
              <w:jc w:val="right"/>
              <w:rPr>
                <w:color w:val="000000"/>
                <w:sz w:val="18"/>
                <w:szCs w:val="18"/>
              </w:rPr>
            </w:pPr>
            <w:r w:rsidDel="00000000" w:rsidR="00000000" w:rsidRPr="00000000">
              <w:rPr>
                <w:color w:val="000000"/>
                <w:sz w:val="18"/>
                <w:szCs w:val="18"/>
                <w:rtl w:val="0"/>
              </w:rPr>
              <w:t xml:space="preserve">3.8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9">
            <w:pPr>
              <w:widowControl w:val="1"/>
              <w:rPr>
                <w:color w:val="000000"/>
                <w:sz w:val="18"/>
                <w:szCs w:val="18"/>
              </w:rPr>
            </w:pPr>
            <w:r w:rsidDel="00000000" w:rsidR="00000000" w:rsidRPr="00000000">
              <w:rPr>
                <w:color w:val="000000"/>
                <w:sz w:val="18"/>
                <w:szCs w:val="18"/>
                <w:rtl w:val="0"/>
              </w:rPr>
              <w:t xml:space="preserve">AD21 Papan (D)</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A">
            <w:pPr>
              <w:widowControl w:val="1"/>
              <w:jc w:val="right"/>
              <w:rPr>
                <w:color w:val="000000"/>
                <w:sz w:val="18"/>
                <w:szCs w:val="18"/>
              </w:rPr>
            </w:pPr>
            <w:r w:rsidDel="00000000" w:rsidR="00000000" w:rsidRPr="00000000">
              <w:rPr>
                <w:color w:val="000000"/>
                <w:sz w:val="18"/>
                <w:szCs w:val="18"/>
                <w:rtl w:val="0"/>
              </w:rPr>
              <w:t xml:space="preserve">3.4</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B">
            <w:pPr>
              <w:widowControl w:val="1"/>
              <w:jc w:val="right"/>
              <w:rPr>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C">
            <w:pPr>
              <w:widowControl w:val="1"/>
              <w:rPr>
                <w:color w:val="000000"/>
                <w:sz w:val="18"/>
                <w:szCs w:val="18"/>
              </w:rPr>
            </w:pPr>
            <w:r w:rsidDel="00000000" w:rsidR="00000000" w:rsidRPr="00000000">
              <w:rPr>
                <w:color w:val="000000"/>
                <w:sz w:val="18"/>
                <w:szCs w:val="18"/>
                <w:rtl w:val="0"/>
              </w:rPr>
              <w:t xml:space="preserve">SD34 Umberg (D)</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D">
            <w:pPr>
              <w:widowControl w:val="1"/>
              <w:jc w:val="right"/>
              <w:rPr>
                <w:color w:val="000000"/>
                <w:sz w:val="18"/>
                <w:szCs w:val="18"/>
              </w:rPr>
            </w:pPr>
            <w:r w:rsidDel="00000000" w:rsidR="00000000" w:rsidRPr="00000000">
              <w:rPr>
                <w:color w:val="000000"/>
                <w:sz w:val="18"/>
                <w:szCs w:val="18"/>
                <w:rtl w:val="0"/>
              </w:rPr>
              <w:t xml:space="preserve">3.8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E">
            <w:pPr>
              <w:widowControl w:val="1"/>
              <w:rPr>
                <w:color w:val="000000"/>
                <w:sz w:val="18"/>
                <w:szCs w:val="18"/>
              </w:rPr>
            </w:pPr>
            <w:r w:rsidDel="00000000" w:rsidR="00000000" w:rsidRPr="00000000">
              <w:rPr>
                <w:color w:val="000000"/>
                <w:sz w:val="18"/>
                <w:szCs w:val="18"/>
                <w:rtl w:val="0"/>
              </w:rPr>
              <w:t xml:space="preserve">AD26 Low (D)</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F">
            <w:pPr>
              <w:widowControl w:val="1"/>
              <w:jc w:val="right"/>
              <w:rPr>
                <w:color w:val="000000"/>
                <w:sz w:val="18"/>
                <w:szCs w:val="18"/>
              </w:rPr>
            </w:pPr>
            <w:r w:rsidDel="00000000" w:rsidR="00000000" w:rsidRPr="00000000">
              <w:rPr>
                <w:color w:val="000000"/>
                <w:sz w:val="18"/>
                <w:szCs w:val="18"/>
                <w:rtl w:val="0"/>
              </w:rPr>
              <w:t xml:space="preserve">3.5</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0">
            <w:pPr>
              <w:widowControl w:val="1"/>
              <w:jc w:val="right"/>
              <w:rPr>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1">
            <w:pPr>
              <w:widowControl w:val="1"/>
              <w:rPr>
                <w:color w:val="000000"/>
                <w:sz w:val="18"/>
                <w:szCs w:val="18"/>
              </w:rPr>
            </w:pPr>
            <w:r w:rsidDel="00000000" w:rsidR="00000000" w:rsidRPr="00000000">
              <w:rPr>
                <w:color w:val="000000"/>
                <w:sz w:val="18"/>
                <w:szCs w:val="18"/>
                <w:rtl w:val="0"/>
              </w:rPr>
              <w:t xml:space="preserve">SD36 Nguyen (R)</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2">
            <w:pPr>
              <w:widowControl w:val="1"/>
              <w:jc w:val="right"/>
              <w:rPr>
                <w:color w:val="000000"/>
                <w:sz w:val="18"/>
                <w:szCs w:val="18"/>
              </w:rPr>
            </w:pPr>
            <w:r w:rsidDel="00000000" w:rsidR="00000000" w:rsidRPr="00000000">
              <w:rPr>
                <w:color w:val="000000"/>
                <w:sz w:val="18"/>
                <w:szCs w:val="18"/>
                <w:rtl w:val="0"/>
              </w:rPr>
              <w:t xml:space="preserve">3.8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3">
            <w:pPr>
              <w:widowControl w:val="1"/>
              <w:rPr>
                <w:color w:val="000000"/>
                <w:sz w:val="18"/>
                <w:szCs w:val="18"/>
              </w:rPr>
            </w:pPr>
            <w:r w:rsidDel="00000000" w:rsidR="00000000" w:rsidRPr="00000000">
              <w:rPr>
                <w:color w:val="000000"/>
                <w:sz w:val="18"/>
                <w:szCs w:val="18"/>
                <w:rtl w:val="0"/>
              </w:rPr>
              <w:t xml:space="preserve">AD68 Valencia (D)</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4">
            <w:pPr>
              <w:widowControl w:val="1"/>
              <w:jc w:val="right"/>
              <w:rPr>
                <w:color w:val="000000"/>
                <w:sz w:val="18"/>
                <w:szCs w:val="18"/>
              </w:rPr>
            </w:pPr>
            <w:r w:rsidDel="00000000" w:rsidR="00000000" w:rsidRPr="00000000">
              <w:rPr>
                <w:color w:val="000000"/>
                <w:sz w:val="18"/>
                <w:szCs w:val="18"/>
                <w:rtl w:val="0"/>
              </w:rPr>
              <w:t xml:space="preserve">3.5</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5">
            <w:pPr>
              <w:widowControl w:val="1"/>
              <w:jc w:val="right"/>
              <w:rPr>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6">
            <w:pPr>
              <w:widowControl w:val="1"/>
              <w:rPr>
                <w:color w:val="000000"/>
                <w:sz w:val="18"/>
                <w:szCs w:val="18"/>
              </w:rPr>
            </w:pPr>
            <w:r w:rsidDel="00000000" w:rsidR="00000000" w:rsidRPr="00000000">
              <w:rPr>
                <w:color w:val="000000"/>
                <w:sz w:val="18"/>
                <w:szCs w:val="18"/>
                <w:rtl w:val="0"/>
              </w:rPr>
              <w:t xml:space="preserve">SD15 Cortese (D)</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7">
            <w:pPr>
              <w:widowControl w:val="1"/>
              <w:jc w:val="right"/>
              <w:rPr>
                <w:color w:val="000000"/>
                <w:sz w:val="18"/>
                <w:szCs w:val="18"/>
              </w:rPr>
            </w:pPr>
            <w:r w:rsidDel="00000000" w:rsidR="00000000" w:rsidRPr="00000000">
              <w:rPr>
                <w:color w:val="000000"/>
                <w:sz w:val="18"/>
                <w:szCs w:val="18"/>
                <w:rtl w:val="0"/>
              </w:rPr>
              <w:t xml:space="preserve">3.8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8">
            <w:pPr>
              <w:widowControl w:val="1"/>
              <w:rPr>
                <w:color w:val="000000"/>
                <w:sz w:val="18"/>
                <w:szCs w:val="18"/>
              </w:rPr>
            </w:pPr>
            <w:r w:rsidDel="00000000" w:rsidR="00000000" w:rsidRPr="00000000">
              <w:rPr>
                <w:color w:val="000000"/>
                <w:sz w:val="18"/>
                <w:szCs w:val="18"/>
                <w:rtl w:val="0"/>
              </w:rPr>
              <w:t xml:space="preserve">AD75 Waldron (R)</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9">
            <w:pPr>
              <w:widowControl w:val="1"/>
              <w:jc w:val="right"/>
              <w:rPr>
                <w:color w:val="000000"/>
                <w:sz w:val="18"/>
                <w:szCs w:val="18"/>
              </w:rPr>
            </w:pPr>
            <w:r w:rsidDel="00000000" w:rsidR="00000000" w:rsidRPr="00000000">
              <w:rPr>
                <w:color w:val="000000"/>
                <w:sz w:val="18"/>
                <w:szCs w:val="18"/>
                <w:rtl w:val="0"/>
              </w:rPr>
              <w:t xml:space="preserve">3.6</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A">
            <w:pPr>
              <w:widowControl w:val="1"/>
              <w:jc w:val="right"/>
              <w:rPr>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B">
            <w:pPr>
              <w:widowControl w:val="1"/>
              <w:rPr>
                <w:color w:val="000000"/>
                <w:sz w:val="18"/>
                <w:szCs w:val="18"/>
              </w:rPr>
            </w:pPr>
            <w:r w:rsidDel="00000000" w:rsidR="00000000" w:rsidRPr="00000000">
              <w:rPr>
                <w:color w:val="000000"/>
                <w:sz w:val="18"/>
                <w:szCs w:val="18"/>
                <w:rtl w:val="0"/>
              </w:rPr>
              <w:t xml:space="preserve">SD09 Skinner (D)</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C">
            <w:pPr>
              <w:widowControl w:val="1"/>
              <w:jc w:val="right"/>
              <w:rPr>
                <w:color w:val="000000"/>
                <w:sz w:val="18"/>
                <w:szCs w:val="18"/>
              </w:rPr>
            </w:pPr>
            <w:r w:rsidDel="00000000" w:rsidR="00000000" w:rsidRPr="00000000">
              <w:rPr>
                <w:color w:val="000000"/>
                <w:sz w:val="18"/>
                <w:szCs w:val="18"/>
                <w:rtl w:val="0"/>
              </w:rPr>
              <w:t xml:space="preserve">3.9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D">
            <w:pPr>
              <w:widowControl w:val="1"/>
              <w:rPr>
                <w:color w:val="000000"/>
                <w:sz w:val="18"/>
                <w:szCs w:val="18"/>
              </w:rPr>
            </w:pPr>
            <w:r w:rsidDel="00000000" w:rsidR="00000000" w:rsidRPr="00000000">
              <w:rPr>
                <w:color w:val="000000"/>
                <w:sz w:val="18"/>
                <w:szCs w:val="18"/>
                <w:rtl w:val="0"/>
              </w:rPr>
              <w:t xml:space="preserve">AD77 Boerner Horvath (D)</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E">
            <w:pPr>
              <w:widowControl w:val="1"/>
              <w:jc w:val="right"/>
              <w:rPr>
                <w:color w:val="000000"/>
                <w:sz w:val="18"/>
                <w:szCs w:val="18"/>
              </w:rPr>
            </w:pPr>
            <w:r w:rsidDel="00000000" w:rsidR="00000000" w:rsidRPr="00000000">
              <w:rPr>
                <w:color w:val="000000"/>
                <w:sz w:val="18"/>
                <w:szCs w:val="18"/>
                <w:rtl w:val="0"/>
              </w:rPr>
              <w:t xml:space="preserve">3.7</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F">
            <w:pPr>
              <w:widowControl w:val="1"/>
              <w:jc w:val="right"/>
              <w:rPr>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0">
            <w:pPr>
              <w:widowControl w:val="1"/>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1">
            <w:pPr>
              <w:widowControl w:val="1"/>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2">
            <w:pPr>
              <w:widowControl w:val="1"/>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3">
            <w:pPr>
              <w:widowControl w:val="1"/>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4">
            <w:pPr>
              <w:widowControl w:val="1"/>
              <w:rPr>
                <w:color w:val="000000"/>
              </w:rPr>
            </w:pPr>
            <w:r w:rsidDel="00000000" w:rsidR="00000000" w:rsidRPr="00000000">
              <w:rPr>
                <w:color w:val="000000"/>
                <w:rtl w:val="0"/>
              </w:rPr>
              <w:t xml:space="preserve">Highest</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5">
            <w:pPr>
              <w:widowControl w:val="1"/>
              <w:rPr>
                <w:color w:val="000000"/>
                <w:sz w:val="18"/>
                <w:szCs w:val="18"/>
              </w:rPr>
            </w:pPr>
            <w:r w:rsidDel="00000000" w:rsidR="00000000" w:rsidRPr="00000000">
              <w:rPr>
                <w:color w:val="000000"/>
                <w:sz w:val="18"/>
                <w:szCs w:val="18"/>
                <w:rtl w:val="0"/>
              </w:rPr>
              <w:t xml:space="preserve">SD26 Durazo (D)</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6">
            <w:pPr>
              <w:widowControl w:val="1"/>
              <w:jc w:val="right"/>
              <w:rPr>
                <w:color w:val="000000"/>
                <w:sz w:val="18"/>
                <w:szCs w:val="18"/>
              </w:rPr>
            </w:pPr>
            <w:r w:rsidDel="00000000" w:rsidR="00000000" w:rsidRPr="00000000">
              <w:rPr>
                <w:color w:val="000000"/>
                <w:sz w:val="18"/>
                <w:szCs w:val="18"/>
                <w:rtl w:val="0"/>
              </w:rPr>
              <w:t xml:space="preserve">5.7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7">
            <w:pPr>
              <w:widowControl w:val="1"/>
              <w:rPr>
                <w:color w:val="000000"/>
                <w:sz w:val="18"/>
                <w:szCs w:val="18"/>
              </w:rPr>
            </w:pPr>
            <w:r w:rsidDel="00000000" w:rsidR="00000000" w:rsidRPr="00000000">
              <w:rPr>
                <w:color w:val="000000"/>
                <w:sz w:val="18"/>
                <w:szCs w:val="18"/>
                <w:rtl w:val="0"/>
              </w:rPr>
              <w:t xml:space="preserve">AD03 Gallagher (R)</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8">
            <w:pPr>
              <w:widowControl w:val="1"/>
              <w:jc w:val="right"/>
              <w:rPr>
                <w:color w:val="000000"/>
                <w:sz w:val="18"/>
                <w:szCs w:val="18"/>
              </w:rPr>
            </w:pPr>
            <w:r w:rsidDel="00000000" w:rsidR="00000000" w:rsidRPr="00000000">
              <w:rPr>
                <w:color w:val="000000"/>
                <w:sz w:val="18"/>
                <w:szCs w:val="18"/>
                <w:rtl w:val="0"/>
              </w:rPr>
              <w:t xml:space="preserve">6.5</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9">
            <w:pPr>
              <w:widowControl w:val="1"/>
              <w:jc w:val="right"/>
              <w:rPr>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A">
            <w:pPr>
              <w:widowControl w:val="1"/>
              <w:rPr>
                <w:color w:val="000000"/>
                <w:sz w:val="18"/>
                <w:szCs w:val="18"/>
              </w:rPr>
            </w:pPr>
            <w:r w:rsidDel="00000000" w:rsidR="00000000" w:rsidRPr="00000000">
              <w:rPr>
                <w:color w:val="000000"/>
                <w:sz w:val="18"/>
                <w:szCs w:val="18"/>
                <w:rtl w:val="0"/>
              </w:rPr>
              <w:t xml:space="preserve">SD01 Dahle (R)</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B">
            <w:pPr>
              <w:widowControl w:val="1"/>
              <w:jc w:val="right"/>
              <w:rPr>
                <w:color w:val="000000"/>
                <w:sz w:val="18"/>
                <w:szCs w:val="18"/>
              </w:rPr>
            </w:pPr>
            <w:r w:rsidDel="00000000" w:rsidR="00000000" w:rsidRPr="00000000">
              <w:rPr>
                <w:color w:val="000000"/>
                <w:sz w:val="18"/>
                <w:szCs w:val="18"/>
                <w:rtl w:val="0"/>
              </w:rPr>
              <w:t xml:space="preserve">6.0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C">
            <w:pPr>
              <w:widowControl w:val="1"/>
              <w:rPr>
                <w:color w:val="000000"/>
                <w:sz w:val="18"/>
                <w:szCs w:val="18"/>
              </w:rPr>
            </w:pPr>
            <w:r w:rsidDel="00000000" w:rsidR="00000000" w:rsidRPr="00000000">
              <w:rPr>
                <w:color w:val="000000"/>
                <w:sz w:val="18"/>
                <w:szCs w:val="18"/>
                <w:rtl w:val="0"/>
              </w:rPr>
              <w:t xml:space="preserve">AD39 Carrillo (D)</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D">
            <w:pPr>
              <w:widowControl w:val="1"/>
              <w:jc w:val="right"/>
              <w:rPr>
                <w:color w:val="000000"/>
                <w:sz w:val="18"/>
                <w:szCs w:val="18"/>
              </w:rPr>
            </w:pPr>
            <w:r w:rsidDel="00000000" w:rsidR="00000000" w:rsidRPr="00000000">
              <w:rPr>
                <w:color w:val="000000"/>
                <w:sz w:val="18"/>
                <w:szCs w:val="18"/>
                <w:rtl w:val="0"/>
              </w:rPr>
              <w:t xml:space="preserve">6.7</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E">
            <w:pPr>
              <w:widowControl w:val="1"/>
              <w:jc w:val="right"/>
              <w:rPr>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F">
            <w:pPr>
              <w:widowControl w:val="1"/>
              <w:rPr>
                <w:color w:val="000000"/>
                <w:sz w:val="18"/>
                <w:szCs w:val="18"/>
              </w:rPr>
            </w:pPr>
            <w:r w:rsidDel="00000000" w:rsidR="00000000" w:rsidRPr="00000000">
              <w:rPr>
                <w:color w:val="000000"/>
                <w:sz w:val="18"/>
                <w:szCs w:val="18"/>
                <w:rtl w:val="0"/>
              </w:rPr>
              <w:t xml:space="preserve">SD04 Alvarado-Gil (D)</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0">
            <w:pPr>
              <w:widowControl w:val="1"/>
              <w:jc w:val="right"/>
              <w:rPr>
                <w:color w:val="000000"/>
                <w:sz w:val="18"/>
                <w:szCs w:val="18"/>
              </w:rPr>
            </w:pPr>
            <w:r w:rsidDel="00000000" w:rsidR="00000000" w:rsidRPr="00000000">
              <w:rPr>
                <w:color w:val="000000"/>
                <w:sz w:val="18"/>
                <w:szCs w:val="18"/>
                <w:rtl w:val="0"/>
              </w:rPr>
              <w:t xml:space="preserve">6.0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1">
            <w:pPr>
              <w:widowControl w:val="1"/>
              <w:rPr>
                <w:color w:val="000000"/>
                <w:sz w:val="18"/>
                <w:szCs w:val="18"/>
              </w:rPr>
            </w:pPr>
            <w:r w:rsidDel="00000000" w:rsidR="00000000" w:rsidRPr="00000000">
              <w:rPr>
                <w:color w:val="000000"/>
                <w:sz w:val="18"/>
                <w:szCs w:val="18"/>
                <w:rtl w:val="0"/>
              </w:rPr>
              <w:t xml:space="preserve">AD22 Alanis (R)</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2">
            <w:pPr>
              <w:widowControl w:val="1"/>
              <w:jc w:val="right"/>
              <w:rPr>
                <w:color w:val="000000"/>
                <w:sz w:val="18"/>
                <w:szCs w:val="18"/>
              </w:rPr>
            </w:pPr>
            <w:r w:rsidDel="00000000" w:rsidR="00000000" w:rsidRPr="00000000">
              <w:rPr>
                <w:color w:val="000000"/>
                <w:sz w:val="18"/>
                <w:szCs w:val="18"/>
                <w:rtl w:val="0"/>
              </w:rPr>
              <w:t xml:space="preserve">6.8</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3">
            <w:pPr>
              <w:widowControl w:val="1"/>
              <w:jc w:val="right"/>
              <w:rPr>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4">
            <w:pPr>
              <w:widowControl w:val="1"/>
              <w:rPr>
                <w:color w:val="000000"/>
                <w:sz w:val="18"/>
                <w:szCs w:val="18"/>
              </w:rPr>
            </w:pPr>
            <w:r w:rsidDel="00000000" w:rsidR="00000000" w:rsidRPr="00000000">
              <w:rPr>
                <w:color w:val="000000"/>
                <w:sz w:val="18"/>
                <w:szCs w:val="18"/>
                <w:rtl w:val="0"/>
              </w:rPr>
              <w:t xml:space="preserve">SD35 Bradford (D)</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5">
            <w:pPr>
              <w:widowControl w:val="1"/>
              <w:jc w:val="right"/>
              <w:rPr>
                <w:color w:val="000000"/>
                <w:sz w:val="18"/>
                <w:szCs w:val="18"/>
              </w:rPr>
            </w:pPr>
            <w:r w:rsidDel="00000000" w:rsidR="00000000" w:rsidRPr="00000000">
              <w:rPr>
                <w:color w:val="000000"/>
                <w:sz w:val="18"/>
                <w:szCs w:val="18"/>
                <w:rtl w:val="0"/>
              </w:rPr>
              <w:t xml:space="preserve">6.0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6">
            <w:pPr>
              <w:widowControl w:val="1"/>
              <w:rPr>
                <w:color w:val="000000"/>
                <w:sz w:val="18"/>
                <w:szCs w:val="18"/>
              </w:rPr>
            </w:pPr>
            <w:r w:rsidDel="00000000" w:rsidR="00000000" w:rsidRPr="00000000">
              <w:rPr>
                <w:color w:val="000000"/>
                <w:sz w:val="18"/>
                <w:szCs w:val="18"/>
                <w:rtl w:val="0"/>
              </w:rPr>
              <w:t xml:space="preserve">AD57 Jones-Sawyer (D)</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7">
            <w:pPr>
              <w:widowControl w:val="1"/>
              <w:jc w:val="right"/>
              <w:rPr>
                <w:color w:val="000000"/>
                <w:sz w:val="18"/>
                <w:szCs w:val="18"/>
              </w:rPr>
            </w:pPr>
            <w:r w:rsidDel="00000000" w:rsidR="00000000" w:rsidRPr="00000000">
              <w:rPr>
                <w:color w:val="000000"/>
                <w:sz w:val="18"/>
                <w:szCs w:val="18"/>
                <w:rtl w:val="0"/>
              </w:rPr>
              <w:t xml:space="preserve">7.0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8">
            <w:pPr>
              <w:widowControl w:val="1"/>
              <w:jc w:val="right"/>
              <w:rPr>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9">
            <w:pPr>
              <w:widowControl w:val="1"/>
              <w:rPr>
                <w:color w:val="000000"/>
                <w:sz w:val="18"/>
                <w:szCs w:val="18"/>
              </w:rPr>
            </w:pPr>
            <w:r w:rsidDel="00000000" w:rsidR="00000000" w:rsidRPr="00000000">
              <w:rPr>
                <w:color w:val="000000"/>
                <w:sz w:val="18"/>
                <w:szCs w:val="18"/>
                <w:rtl w:val="0"/>
              </w:rPr>
              <w:t xml:space="preserve">SD28 Smallwood-Cuevas (D)</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A">
            <w:pPr>
              <w:widowControl w:val="1"/>
              <w:jc w:val="right"/>
              <w:rPr>
                <w:color w:val="000000"/>
                <w:sz w:val="18"/>
                <w:szCs w:val="18"/>
              </w:rPr>
            </w:pPr>
            <w:r w:rsidDel="00000000" w:rsidR="00000000" w:rsidRPr="00000000">
              <w:rPr>
                <w:color w:val="000000"/>
                <w:sz w:val="18"/>
                <w:szCs w:val="18"/>
                <w:rtl w:val="0"/>
              </w:rPr>
              <w:t xml:space="preserve">6.1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B">
            <w:pPr>
              <w:widowControl w:val="1"/>
              <w:rPr>
                <w:color w:val="000000"/>
                <w:sz w:val="18"/>
                <w:szCs w:val="18"/>
              </w:rPr>
            </w:pPr>
            <w:r w:rsidDel="00000000" w:rsidR="00000000" w:rsidRPr="00000000">
              <w:rPr>
                <w:color w:val="000000"/>
                <w:sz w:val="18"/>
                <w:szCs w:val="18"/>
                <w:rtl w:val="0"/>
              </w:rPr>
              <w:t xml:space="preserve">AD32 Fong (R)</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C">
            <w:pPr>
              <w:widowControl w:val="1"/>
              <w:jc w:val="right"/>
              <w:rPr>
                <w:color w:val="000000"/>
                <w:sz w:val="18"/>
                <w:szCs w:val="18"/>
              </w:rPr>
            </w:pPr>
            <w:r w:rsidDel="00000000" w:rsidR="00000000" w:rsidRPr="00000000">
              <w:rPr>
                <w:color w:val="000000"/>
                <w:sz w:val="18"/>
                <w:szCs w:val="18"/>
                <w:rtl w:val="0"/>
              </w:rPr>
              <w:t xml:space="preserve">7.2</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D">
            <w:pPr>
              <w:widowControl w:val="1"/>
              <w:jc w:val="right"/>
              <w:rPr>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E">
            <w:pPr>
              <w:widowControl w:val="1"/>
              <w:rPr>
                <w:color w:val="000000"/>
                <w:sz w:val="18"/>
                <w:szCs w:val="18"/>
              </w:rPr>
            </w:pPr>
            <w:r w:rsidDel="00000000" w:rsidR="00000000" w:rsidRPr="00000000">
              <w:rPr>
                <w:color w:val="000000"/>
                <w:sz w:val="18"/>
                <w:szCs w:val="18"/>
                <w:rtl w:val="0"/>
              </w:rPr>
              <w:t xml:space="preserve">SD17 Laird (D)</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F">
            <w:pPr>
              <w:widowControl w:val="1"/>
              <w:jc w:val="right"/>
              <w:rPr>
                <w:color w:val="000000"/>
                <w:sz w:val="18"/>
                <w:szCs w:val="18"/>
              </w:rPr>
            </w:pPr>
            <w:r w:rsidDel="00000000" w:rsidR="00000000" w:rsidRPr="00000000">
              <w:rPr>
                <w:color w:val="000000"/>
                <w:sz w:val="18"/>
                <w:szCs w:val="18"/>
                <w:rtl w:val="0"/>
              </w:rPr>
              <w:t xml:space="preserve">6.2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0">
            <w:pPr>
              <w:widowControl w:val="1"/>
              <w:rPr>
                <w:color w:val="000000"/>
                <w:sz w:val="18"/>
                <w:szCs w:val="18"/>
              </w:rPr>
            </w:pPr>
            <w:r w:rsidDel="00000000" w:rsidR="00000000" w:rsidRPr="00000000">
              <w:rPr>
                <w:color w:val="000000"/>
                <w:sz w:val="18"/>
                <w:szCs w:val="18"/>
                <w:rtl w:val="0"/>
              </w:rPr>
              <w:t xml:space="preserve">AD36 Garcia (D)</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1">
            <w:pPr>
              <w:widowControl w:val="1"/>
              <w:jc w:val="right"/>
              <w:rPr>
                <w:color w:val="000000"/>
                <w:sz w:val="18"/>
                <w:szCs w:val="18"/>
              </w:rPr>
            </w:pPr>
            <w:r w:rsidDel="00000000" w:rsidR="00000000" w:rsidRPr="00000000">
              <w:rPr>
                <w:color w:val="000000"/>
                <w:sz w:val="18"/>
                <w:szCs w:val="18"/>
                <w:rtl w:val="0"/>
              </w:rPr>
              <w:t xml:space="preserve">9.3</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2">
            <w:pPr>
              <w:widowControl w:val="1"/>
              <w:jc w:val="right"/>
              <w:rPr>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3">
            <w:pPr>
              <w:widowControl w:val="1"/>
              <w:rPr>
                <w:color w:val="000000"/>
                <w:sz w:val="18"/>
                <w:szCs w:val="18"/>
              </w:rPr>
            </w:pPr>
            <w:r w:rsidDel="00000000" w:rsidR="00000000" w:rsidRPr="00000000">
              <w:rPr>
                <w:color w:val="000000"/>
                <w:sz w:val="18"/>
                <w:szCs w:val="18"/>
                <w:rtl w:val="0"/>
              </w:rPr>
              <w:t xml:space="preserve">SD12 Grove (R)</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4">
            <w:pPr>
              <w:widowControl w:val="1"/>
              <w:jc w:val="right"/>
              <w:rPr>
                <w:color w:val="000000"/>
                <w:sz w:val="18"/>
                <w:szCs w:val="18"/>
              </w:rPr>
            </w:pPr>
            <w:r w:rsidDel="00000000" w:rsidR="00000000" w:rsidRPr="00000000">
              <w:rPr>
                <w:color w:val="000000"/>
                <w:sz w:val="18"/>
                <w:szCs w:val="18"/>
                <w:rtl w:val="0"/>
              </w:rPr>
              <w:t xml:space="preserve">6.6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5">
            <w:pPr>
              <w:widowControl w:val="1"/>
              <w:rPr>
                <w:color w:val="000000"/>
                <w:sz w:val="18"/>
                <w:szCs w:val="18"/>
              </w:rPr>
            </w:pPr>
            <w:r w:rsidDel="00000000" w:rsidR="00000000" w:rsidRPr="00000000">
              <w:rPr>
                <w:color w:val="000000"/>
                <w:sz w:val="18"/>
                <w:szCs w:val="18"/>
                <w:rtl w:val="0"/>
              </w:rPr>
              <w:t xml:space="preserve">AD27 Soria (D)</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6">
            <w:pPr>
              <w:widowControl w:val="1"/>
              <w:jc w:val="right"/>
              <w:rPr>
                <w:color w:val="000000"/>
                <w:sz w:val="18"/>
                <w:szCs w:val="18"/>
              </w:rPr>
            </w:pPr>
            <w:r w:rsidDel="00000000" w:rsidR="00000000" w:rsidRPr="00000000">
              <w:rPr>
                <w:color w:val="000000"/>
                <w:sz w:val="18"/>
                <w:szCs w:val="18"/>
                <w:rtl w:val="0"/>
              </w:rPr>
              <w:t xml:space="preserve">9.4</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7">
            <w:pPr>
              <w:widowControl w:val="1"/>
              <w:jc w:val="right"/>
              <w:rPr>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8">
            <w:pPr>
              <w:widowControl w:val="1"/>
              <w:rPr>
                <w:color w:val="000000"/>
                <w:sz w:val="18"/>
                <w:szCs w:val="18"/>
              </w:rPr>
            </w:pPr>
            <w:r w:rsidDel="00000000" w:rsidR="00000000" w:rsidRPr="00000000">
              <w:rPr>
                <w:color w:val="000000"/>
                <w:sz w:val="18"/>
                <w:szCs w:val="18"/>
                <w:rtl w:val="0"/>
              </w:rPr>
              <w:t xml:space="preserve">SD18 Padilla (D)</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9">
            <w:pPr>
              <w:widowControl w:val="1"/>
              <w:jc w:val="right"/>
              <w:rPr>
                <w:color w:val="000000"/>
                <w:sz w:val="18"/>
                <w:szCs w:val="18"/>
              </w:rPr>
            </w:pPr>
            <w:r w:rsidDel="00000000" w:rsidR="00000000" w:rsidRPr="00000000">
              <w:rPr>
                <w:color w:val="000000"/>
                <w:sz w:val="18"/>
                <w:szCs w:val="18"/>
                <w:rtl w:val="0"/>
              </w:rPr>
              <w:t xml:space="preserve">7.3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A">
            <w:pPr>
              <w:widowControl w:val="1"/>
              <w:rPr>
                <w:color w:val="000000"/>
                <w:sz w:val="18"/>
                <w:szCs w:val="18"/>
              </w:rPr>
            </w:pPr>
            <w:r w:rsidDel="00000000" w:rsidR="00000000" w:rsidRPr="00000000">
              <w:rPr>
                <w:color w:val="000000"/>
                <w:sz w:val="18"/>
                <w:szCs w:val="18"/>
                <w:rtl w:val="0"/>
              </w:rPr>
              <w:t xml:space="preserve">AD35 Bains (D)</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B">
            <w:pPr>
              <w:widowControl w:val="1"/>
              <w:jc w:val="right"/>
              <w:rPr>
                <w:color w:val="000000"/>
                <w:sz w:val="18"/>
                <w:szCs w:val="18"/>
              </w:rPr>
            </w:pPr>
            <w:r w:rsidDel="00000000" w:rsidR="00000000" w:rsidRPr="00000000">
              <w:rPr>
                <w:color w:val="000000"/>
                <w:sz w:val="18"/>
                <w:szCs w:val="18"/>
                <w:rtl w:val="0"/>
              </w:rPr>
              <w:t xml:space="preserve">9.5</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C">
            <w:pPr>
              <w:widowControl w:val="1"/>
              <w:jc w:val="right"/>
              <w:rPr>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D">
            <w:pPr>
              <w:widowControl w:val="1"/>
              <w:rPr>
                <w:color w:val="000000"/>
                <w:sz w:val="18"/>
                <w:szCs w:val="18"/>
              </w:rPr>
            </w:pPr>
            <w:r w:rsidDel="00000000" w:rsidR="00000000" w:rsidRPr="00000000">
              <w:rPr>
                <w:color w:val="000000"/>
                <w:sz w:val="18"/>
                <w:szCs w:val="18"/>
                <w:rtl w:val="0"/>
              </w:rPr>
              <w:t xml:space="preserve">SD14 Caballero (D)</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E">
            <w:pPr>
              <w:widowControl w:val="1"/>
              <w:jc w:val="right"/>
              <w:rPr>
                <w:color w:val="000000"/>
                <w:sz w:val="18"/>
                <w:szCs w:val="18"/>
              </w:rPr>
            </w:pPr>
            <w:r w:rsidDel="00000000" w:rsidR="00000000" w:rsidRPr="00000000">
              <w:rPr>
                <w:color w:val="000000"/>
                <w:sz w:val="18"/>
                <w:szCs w:val="18"/>
                <w:rtl w:val="0"/>
              </w:rPr>
              <w:t xml:space="preserve">9.8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F">
            <w:pPr>
              <w:widowControl w:val="1"/>
              <w:rPr>
                <w:color w:val="000000"/>
                <w:sz w:val="18"/>
                <w:szCs w:val="18"/>
              </w:rPr>
            </w:pPr>
            <w:r w:rsidDel="00000000" w:rsidR="00000000" w:rsidRPr="00000000">
              <w:rPr>
                <w:color w:val="000000"/>
                <w:sz w:val="18"/>
                <w:szCs w:val="18"/>
                <w:rtl w:val="0"/>
              </w:rPr>
              <w:t xml:space="preserve">AD31 Arambula (D)</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B0">
            <w:pPr>
              <w:widowControl w:val="1"/>
              <w:jc w:val="right"/>
              <w:rPr>
                <w:color w:val="000000"/>
                <w:sz w:val="18"/>
                <w:szCs w:val="18"/>
              </w:rPr>
            </w:pPr>
            <w:r w:rsidDel="00000000" w:rsidR="00000000" w:rsidRPr="00000000">
              <w:rPr>
                <w:color w:val="000000"/>
                <w:sz w:val="18"/>
                <w:szCs w:val="18"/>
                <w:rtl w:val="0"/>
              </w:rPr>
              <w:t xml:space="preserve">10.0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B1">
            <w:pPr>
              <w:widowControl w:val="1"/>
              <w:jc w:val="right"/>
              <w:rPr>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B2">
            <w:pPr>
              <w:widowControl w:val="1"/>
              <w:rPr>
                <w:color w:val="000000"/>
                <w:sz w:val="18"/>
                <w:szCs w:val="18"/>
              </w:rPr>
            </w:pPr>
            <w:r w:rsidDel="00000000" w:rsidR="00000000" w:rsidRPr="00000000">
              <w:rPr>
                <w:color w:val="000000"/>
                <w:sz w:val="18"/>
                <w:szCs w:val="18"/>
                <w:rtl w:val="0"/>
              </w:rPr>
              <w:t xml:space="preserve">SD16 Hurtado (D)</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B3">
            <w:pPr>
              <w:widowControl w:val="1"/>
              <w:jc w:val="right"/>
              <w:rPr>
                <w:color w:val="000000"/>
                <w:sz w:val="18"/>
                <w:szCs w:val="18"/>
              </w:rPr>
            </w:pPr>
            <w:r w:rsidDel="00000000" w:rsidR="00000000" w:rsidRPr="00000000">
              <w:rPr>
                <w:color w:val="000000"/>
                <w:sz w:val="18"/>
                <w:szCs w:val="18"/>
                <w:rtl w:val="0"/>
              </w:rPr>
              <w:t xml:space="preserve">10.3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B4">
            <w:pPr>
              <w:widowControl w:val="1"/>
              <w:rPr>
                <w:color w:val="000000"/>
                <w:sz w:val="18"/>
                <w:szCs w:val="18"/>
              </w:rPr>
            </w:pPr>
            <w:r w:rsidDel="00000000" w:rsidR="00000000" w:rsidRPr="00000000">
              <w:rPr>
                <w:color w:val="000000"/>
                <w:sz w:val="18"/>
                <w:szCs w:val="18"/>
                <w:rtl w:val="0"/>
              </w:rPr>
              <w:t xml:space="preserve">AD33 Mathis (R)</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B5">
            <w:pPr>
              <w:widowControl w:val="1"/>
              <w:jc w:val="right"/>
              <w:rPr>
                <w:color w:val="000000"/>
                <w:sz w:val="18"/>
                <w:szCs w:val="18"/>
              </w:rPr>
            </w:pPr>
            <w:r w:rsidDel="00000000" w:rsidR="00000000" w:rsidRPr="00000000">
              <w:rPr>
                <w:color w:val="000000"/>
                <w:sz w:val="18"/>
                <w:szCs w:val="18"/>
                <w:rtl w:val="0"/>
              </w:rPr>
              <w:t xml:space="preserve">10.9</w:t>
            </w:r>
          </w:p>
        </w:tc>
      </w:tr>
    </w:tbl>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sectPr>
      <w:headerReference r:id="rId17" w:type="default"/>
      <w:footerReference r:id="rId18" w:type="default"/>
      <w:pgSz w:h="15840" w:w="12240" w:orient="portrait"/>
      <w:pgMar w:bottom="1200" w:top="1480" w:left="1340" w:right="1060" w:header="480" w:footer="101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5895658</wp:posOffset>
              </wp:positionH>
              <wp:positionV relativeFrom="paragraph">
                <wp:posOffset>9271318</wp:posOffset>
              </wp:positionV>
              <wp:extent cx="169545" cy="175260"/>
              <wp:effectExtent b="0" l="0" r="0" t="0"/>
              <wp:wrapNone/>
              <wp:docPr id="1" name=""/>
              <a:graphic>
                <a:graphicData uri="http://schemas.microsoft.com/office/word/2010/wordprocessingShape">
                  <wps:wsp>
                    <wps:cNvSpPr/>
                    <wps:cNvPr id="2" name="Shape 2"/>
                    <wps:spPr>
                      <a:xfrm>
                        <a:off x="5265990" y="3697133"/>
                        <a:ext cx="160020" cy="165735"/>
                      </a:xfrm>
                      <a:prstGeom prst="rect">
                        <a:avLst/>
                      </a:prstGeom>
                      <a:noFill/>
                      <a:ln>
                        <a:noFill/>
                      </a:ln>
                    </wps:spPr>
                    <wps:txbx>
                      <w:txbxContent>
                        <w:p w:rsidR="00000000" w:rsidDel="00000000" w:rsidP="00000000" w:rsidRDefault="00000000" w:rsidRPr="00000000">
                          <w:pPr>
                            <w:spacing w:after="0" w:before="0" w:line="245.00000953674316"/>
                            <w:ind w:left="6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5895658</wp:posOffset>
              </wp:positionH>
              <wp:positionV relativeFrom="paragraph">
                <wp:posOffset>9271318</wp:posOffset>
              </wp:positionV>
              <wp:extent cx="169545" cy="175260"/>
              <wp:effectExtent b="0" l="0" r="0" t="0"/>
              <wp:wrapNone/>
              <wp:docPr id="1"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69545" cy="17526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-495299</wp:posOffset>
          </wp:positionH>
          <wp:positionV relativeFrom="paragraph">
            <wp:posOffset>-44449</wp:posOffset>
          </wp:positionV>
          <wp:extent cx="2908300" cy="520700"/>
          <wp:effectExtent b="0" l="0" r="0" t="0"/>
          <wp:wrapSquare wrapText="bothSides" distB="0" distT="0" distL="114300" distR="114300"/>
          <wp:docPr descr="Graphical user interface, text&#10;&#10;Description automatically generated with medium confidence" id="9" name="image2.png"/>
          <a:graphic>
            <a:graphicData uri="http://schemas.openxmlformats.org/drawingml/2006/picture">
              <pic:pic>
                <pic:nvPicPr>
                  <pic:cNvPr descr="Graphical user interface, text&#10;&#10;Description automatically generated with medium confidence" id="0" name="image2.png"/>
                  <pic:cNvPicPr preferRelativeResize="0"/>
                </pic:nvPicPr>
                <pic:blipFill>
                  <a:blip r:embed="rId1"/>
                  <a:srcRect b="0" l="0" r="0" t="0"/>
                  <a:stretch>
                    <a:fillRect/>
                  </a:stretch>
                </pic:blipFill>
                <pic:spPr>
                  <a:xfrm>
                    <a:off x="0" y="0"/>
                    <a:ext cx="2908300" cy="5207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28" w:lineRule="auto"/>
      <w:ind w:left="1665" w:right="1945"/>
      <w:jc w:val="center"/>
    </w:pPr>
    <w:rPr>
      <w:b w:val="1"/>
      <w:bCs w:val="1"/>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s://www.bls.gov/charts/state-employment-and-unemployment/state-unemployment-rates-map.htm" TargetMode="External"/><Relationship Id="rId13" Type="http://schemas.openxmlformats.org/officeDocument/2006/relationships/hyperlink" Target="https://www.bls.gov/charts/state-employment-and-unemployment/change-in-nonfarm-employment-by-state-map.htm" TargetMode="External"/><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image" Target="media/image7.png"/><Relationship Id="rId14" Type="http://schemas.openxmlformats.org/officeDocument/2006/relationships/image" Target="media/image5.png"/><Relationship Id="rId17" Type="http://schemas.openxmlformats.org/officeDocument/2006/relationships/header" Target="header1.xml"/><Relationship Id="rId16"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www.centerforjobs.org/ca." TargetMode="External"/><Relationship Id="rId8"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z9FCS2yC7349S6NNZWi2sSxRg==">CgMxLjAyDmgucXp1eWt5ZmxhNzQxMg5oLmJrZTFjZmFidHQzZjIOaC50a3cwbnhwODM0YWQyDmguM29xbXl5azVhamE2Mg5oLmZuc2J6ajNzdDIwajgAciExTjY1Y3ZWb0M2ZWZDV29iakc3X1FaQ2ZrZHRjMkFoS28=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2022-06-28T00:00:00Z</vt:lpwstr>
  </property>
  <property fmtid="{D5CDD505-2E9C-101B-9397-08002B2CF9AE}" pid="3" name="Creator">
    <vt:lpwstr>Microsoft® Word for Microsoft 365</vt:lpwstr>
  </property>
  <property fmtid="{D5CDD505-2E9C-101B-9397-08002B2CF9AE}" pid="4" name="LastSaved">
    <vt:lpwstr>2022-07-21T00:00:00Z</vt:lpwstr>
  </property>
  <property fmtid="{D5CDD505-2E9C-101B-9397-08002B2CF9AE}" pid="5" name="Producer">
    <vt:lpwstr>Microsoft® Word for Microsoft 365</vt:lpwstr>
  </property>
</Properties>
</file>