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6B88" w14:textId="77777777" w:rsidR="002201A3" w:rsidRDefault="002201A3">
      <w:pPr>
        <w:pStyle w:val="BodyText"/>
        <w:spacing w:before="9"/>
        <w:rPr>
          <w:rFonts w:ascii="Times New Roman"/>
          <w:sz w:val="16"/>
        </w:rPr>
      </w:pPr>
    </w:p>
    <w:p w14:paraId="6BE5A911" w14:textId="2C5EC8FE" w:rsidR="00D94DFA" w:rsidRDefault="00B26975" w:rsidP="00B36808">
      <w:pPr>
        <w:pStyle w:val="Title"/>
        <w:ind w:left="720"/>
        <w:rPr>
          <w:spacing w:val="-2"/>
        </w:rPr>
      </w:pPr>
      <w:r>
        <w:t>California</w:t>
      </w:r>
      <w:r>
        <w:rPr>
          <w:spacing w:val="-3"/>
        </w:rPr>
        <w:t xml:space="preserve"> </w:t>
      </w:r>
      <w:r w:rsidR="005A5FE8">
        <w:t xml:space="preserve">Employment Report for </w:t>
      </w:r>
      <w:r w:rsidR="00DC2BF7">
        <w:t>January 2026</w:t>
      </w:r>
    </w:p>
    <w:p w14:paraId="247112FF" w14:textId="4D0266CF" w:rsidR="00A9159F" w:rsidRDefault="00AF30D3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 xml:space="preserve">The </w:t>
      </w:r>
      <w:r w:rsidR="00A9159F" w:rsidRPr="00A9159F">
        <w:rPr>
          <w:spacing w:val="-2"/>
        </w:rPr>
        <w:t xml:space="preserve">Center for Jobs and the Economy has released our initial analysis of the </w:t>
      </w:r>
      <w:r w:rsidR="00DC2BF7">
        <w:rPr>
          <w:spacing w:val="-2"/>
        </w:rPr>
        <w:t>January</w:t>
      </w:r>
      <w:r w:rsidR="00CE4964">
        <w:rPr>
          <w:spacing w:val="-2"/>
        </w:rPr>
        <w:t xml:space="preserve"> employment and labor force data</w:t>
      </w:r>
      <w:r w:rsidR="00A9159F" w:rsidRPr="00A9159F">
        <w:rPr>
          <w:spacing w:val="-2"/>
        </w:rPr>
        <w:t xml:space="preserve">. </w:t>
      </w:r>
      <w:r w:rsidR="00C15B7B">
        <w:rPr>
          <w:spacing w:val="-2"/>
        </w:rPr>
        <w:t xml:space="preserve"> </w:t>
      </w:r>
      <w:r w:rsidR="00142C4B">
        <w:rPr>
          <w:spacing w:val="-2"/>
        </w:rPr>
        <w:t xml:space="preserve">The EDD and BLS releases are again </w:t>
      </w:r>
      <w:r w:rsidR="001334D6">
        <w:rPr>
          <w:spacing w:val="-2"/>
        </w:rPr>
        <w:t>on different schedules.  D</w:t>
      </w:r>
      <w:r w:rsidR="00C15B7B">
        <w:rPr>
          <w:spacing w:val="-2"/>
        </w:rPr>
        <w:t xml:space="preserve">ata for the other states will be addressed in our Full Jobs Report after it is released by Bureau of Labor Statistics next </w:t>
      </w:r>
      <w:r w:rsidR="00CE4964">
        <w:rPr>
          <w:spacing w:val="-2"/>
        </w:rPr>
        <w:t>week</w:t>
      </w:r>
      <w:r w:rsidR="00C15B7B">
        <w:rPr>
          <w:spacing w:val="-2"/>
        </w:rPr>
        <w:t xml:space="preserve">.  </w:t>
      </w:r>
      <w:r w:rsidR="00A9159F" w:rsidRPr="00A9159F">
        <w:rPr>
          <w:spacing w:val="-2"/>
        </w:rPr>
        <w:t>For additional information and data about the</w:t>
      </w:r>
      <w:r w:rsidR="00AB155B">
        <w:rPr>
          <w:spacing w:val="-2"/>
        </w:rPr>
        <w:t xml:space="preserve"> </w:t>
      </w:r>
      <w:r w:rsidR="00A9159F" w:rsidRPr="00A9159F">
        <w:rPr>
          <w:spacing w:val="-2"/>
        </w:rPr>
        <w:t>California economy visit</w:t>
      </w:r>
      <w:r w:rsidR="00260D1D">
        <w:rPr>
          <w:rFonts w:ascii="Arial" w:hAnsi="Arial" w:cs="Arial"/>
          <w:color w:val="272727"/>
          <w:sz w:val="36"/>
          <w:szCs w:val="36"/>
          <w:shd w:val="clear" w:color="auto" w:fill="FFFFFF"/>
        </w:rPr>
        <w:t xml:space="preserve"> </w:t>
      </w:r>
      <w:hyperlink r:id="rId7" w:history="1">
        <w:r w:rsidR="00260D1D" w:rsidRPr="00274E60">
          <w:rPr>
            <w:rStyle w:val="Hyperlink"/>
            <w:spacing w:val="-2"/>
          </w:rPr>
          <w:t>www.centerforjobs.org/ca.</w:t>
        </w:r>
      </w:hyperlink>
      <w:r w:rsidR="00260D1D">
        <w:rPr>
          <w:spacing w:val="-2"/>
        </w:rPr>
        <w:t xml:space="preserve"> </w:t>
      </w:r>
      <w:r w:rsidR="00423DBA">
        <w:rPr>
          <w:spacing w:val="-2"/>
        </w:rPr>
        <w:t xml:space="preserve"> </w:t>
      </w:r>
      <w:r w:rsidR="00720D67">
        <w:rPr>
          <w:spacing w:val="-2"/>
        </w:rPr>
        <w:t xml:space="preserve"> </w:t>
      </w:r>
    </w:p>
    <w:p w14:paraId="521D77C1" w14:textId="76F244A6" w:rsidR="00DC2BF7" w:rsidRPr="00DC2BF7" w:rsidRDefault="00DC2BF7" w:rsidP="00322C15">
      <w:pPr>
        <w:pStyle w:val="BodyText"/>
        <w:spacing w:before="193" w:line="259" w:lineRule="auto"/>
        <w:ind w:left="100" w:right="403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Annual Revision Process Boosts Reported Job Growth in 2025</w:t>
      </w:r>
    </w:p>
    <w:p w14:paraId="308AD773" w14:textId="3A614315" w:rsidR="00DC2BF7" w:rsidRDefault="00DC2BF7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>The January data includes the release of the annual revisions for the state and Los Angeles MSA</w:t>
      </w:r>
      <w:r w:rsidR="00005606">
        <w:rPr>
          <w:spacing w:val="-2"/>
        </w:rPr>
        <w:t>, with updates to both the labor force and jobs data for 1990-2025 reflecting more current data along with revisions to the estimation models</w:t>
      </w:r>
      <w:r>
        <w:rPr>
          <w:spacing w:val="-2"/>
        </w:rPr>
        <w:t xml:space="preserve">.  Revisions for the remaining </w:t>
      </w:r>
      <w:proofErr w:type="gramStart"/>
      <w:r>
        <w:rPr>
          <w:spacing w:val="-2"/>
        </w:rPr>
        <w:t>subareas</w:t>
      </w:r>
      <w:proofErr w:type="gramEnd"/>
      <w:r>
        <w:rPr>
          <w:spacing w:val="-2"/>
        </w:rPr>
        <w:t xml:space="preserve"> of the state will be included with the February data.</w:t>
      </w:r>
    </w:p>
    <w:p w14:paraId="11251A28" w14:textId="7900E8A5" w:rsidR="00DC2BF7" w:rsidRDefault="00DC2BF7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 xml:space="preserve">Unlike recent years, the revisions were generally positive for the state.  </w:t>
      </w:r>
      <w:r w:rsidR="004A3C71">
        <w:rPr>
          <w:spacing w:val="-2"/>
        </w:rPr>
        <w:t>Monthly revisions to nonfarm jobs (seasonally adjusted) were almost uniformly positive, with the March benchmark 16,700 higher.  The relative adjustment, however, was small, with a monthly revision average of only 0.</w:t>
      </w:r>
      <w:r w:rsidR="00E24AA9">
        <w:rPr>
          <w:spacing w:val="-2"/>
        </w:rPr>
        <w:t>16</w:t>
      </w:r>
      <w:r w:rsidR="004A3C71">
        <w:rPr>
          <w:spacing w:val="-2"/>
        </w:rPr>
        <w:t xml:space="preserve">% in the period shown.  For the year, the preliminary loss of </w:t>
      </w:r>
      <w:r w:rsidR="009025FA">
        <w:rPr>
          <w:spacing w:val="-2"/>
        </w:rPr>
        <w:t>11,2</w:t>
      </w:r>
      <w:r w:rsidR="004A3C71">
        <w:rPr>
          <w:spacing w:val="-2"/>
        </w:rPr>
        <w:t xml:space="preserve">00 jobs in 2025 was revised to a minor gain of </w:t>
      </w:r>
      <w:r w:rsidR="0048147F">
        <w:rPr>
          <w:spacing w:val="-2"/>
        </w:rPr>
        <w:t>56,6</w:t>
      </w:r>
      <w:r w:rsidR="004A3C71">
        <w:rPr>
          <w:spacing w:val="-2"/>
        </w:rPr>
        <w:t>00, or only 4,</w:t>
      </w:r>
      <w:r w:rsidR="0048147F">
        <w:rPr>
          <w:spacing w:val="-2"/>
        </w:rPr>
        <w:t>7</w:t>
      </w:r>
      <w:r w:rsidR="004A3C71">
        <w:rPr>
          <w:spacing w:val="-2"/>
        </w:rPr>
        <w:t>00 a month.</w:t>
      </w:r>
    </w:p>
    <w:p w14:paraId="556D3374" w14:textId="3E61A9ED" w:rsidR="004A3C71" w:rsidRDefault="004A3C71" w:rsidP="004A3C71">
      <w:pPr>
        <w:pStyle w:val="BodyText"/>
        <w:spacing w:before="193" w:line="259" w:lineRule="auto"/>
        <w:ind w:left="100" w:right="403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0CD9E136" wp14:editId="5264C3A9">
            <wp:extent cx="4232399" cy="2166795"/>
            <wp:effectExtent l="0" t="0" r="0" b="5080"/>
            <wp:docPr id="968093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51" cy="2173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29A60" w14:textId="28B979FC" w:rsidR="009025FA" w:rsidRDefault="009025FA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 xml:space="preserve">Updating the charts in our recent end-of-the-year report, the revised numbers show California’s performance in 2025 marginally improved with jobs growth of 0.3% compared to the US at 0.1%.  Over the longer term since </w:t>
      </w:r>
      <w:r w:rsidR="0034555F">
        <w:rPr>
          <w:spacing w:val="-2"/>
        </w:rPr>
        <w:t>the end of 2018, California improved only slightly at jobs expansion of 4.3% compared to the US at 5.8%.</w:t>
      </w:r>
    </w:p>
    <w:p w14:paraId="29C56B0F" w14:textId="1FA79AA0" w:rsidR="0034555F" w:rsidRDefault="0034555F" w:rsidP="0034555F">
      <w:pPr>
        <w:pStyle w:val="BodyText"/>
        <w:spacing w:before="193" w:line="259" w:lineRule="auto"/>
        <w:ind w:left="100" w:right="403"/>
        <w:jc w:val="center"/>
        <w:rPr>
          <w:spacing w:val="-2"/>
        </w:rPr>
      </w:pPr>
      <w:r>
        <w:rPr>
          <w:noProof/>
          <w:spacing w:val="-2"/>
        </w:rPr>
        <w:lastRenderedPageBreak/>
        <w:drawing>
          <wp:inline distT="0" distB="0" distL="0" distR="0" wp14:anchorId="7F8E57C5" wp14:editId="305B52E5">
            <wp:extent cx="4269798" cy="2473383"/>
            <wp:effectExtent l="0" t="0" r="0" b="3175"/>
            <wp:docPr id="4773261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17" cy="2478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E1540" w14:textId="0D546F55" w:rsidR="0034555F" w:rsidRDefault="0034555F" w:rsidP="0034555F">
      <w:pPr>
        <w:pStyle w:val="BodyText"/>
        <w:spacing w:before="193" w:line="259" w:lineRule="auto"/>
        <w:ind w:left="100" w:right="403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3AC12A91" wp14:editId="2E2FC9CE">
            <wp:extent cx="4246047" cy="2443369"/>
            <wp:effectExtent l="0" t="0" r="2540" b="0"/>
            <wp:docPr id="5338267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740" cy="2454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5D2EF" w14:textId="78283966" w:rsidR="009025FA" w:rsidRDefault="0034555F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>Because the revisions were minor—and putting aside the preliminary uptick in the January results—nonfarm jobs in the state still have shown little change over the past two years.</w:t>
      </w:r>
    </w:p>
    <w:p w14:paraId="355918B1" w14:textId="636EE3D5" w:rsidR="0034555F" w:rsidRDefault="0034555F" w:rsidP="0034555F">
      <w:pPr>
        <w:pStyle w:val="BodyText"/>
        <w:spacing w:before="193" w:line="259" w:lineRule="auto"/>
        <w:ind w:left="100" w:right="403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7D981C6E" wp14:editId="21CC2638">
            <wp:extent cx="4265650" cy="2597383"/>
            <wp:effectExtent l="0" t="0" r="1905" b="0"/>
            <wp:docPr id="3257537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99" cy="2605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AA99A" w14:textId="44462350" w:rsidR="00DC2BF7" w:rsidRDefault="004A3C71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lastRenderedPageBreak/>
        <w:t xml:space="preserve">The employment revisions were more mixed.  The monthly changes were </w:t>
      </w:r>
      <w:r w:rsidR="00912140">
        <w:rPr>
          <w:spacing w:val="-2"/>
        </w:rPr>
        <w:t>marginal</w:t>
      </w:r>
      <w:r>
        <w:rPr>
          <w:spacing w:val="-2"/>
        </w:rPr>
        <w:t xml:space="preserve"> but negative in 2025</w:t>
      </w:r>
      <w:r w:rsidR="00E24AA9">
        <w:rPr>
          <w:spacing w:val="-2"/>
        </w:rPr>
        <w:t xml:space="preserve"> and</w:t>
      </w:r>
      <w:r>
        <w:rPr>
          <w:spacing w:val="-2"/>
        </w:rPr>
        <w:t xml:space="preserve"> generally positive in 2024.  </w:t>
      </w:r>
      <w:r w:rsidR="00912140">
        <w:rPr>
          <w:spacing w:val="-2"/>
        </w:rPr>
        <w:t>Overall, the monthly revisions averaged only 0.</w:t>
      </w:r>
      <w:r w:rsidR="00E24AA9">
        <w:rPr>
          <w:spacing w:val="-2"/>
        </w:rPr>
        <w:t>15</w:t>
      </w:r>
      <w:r w:rsidR="00912140">
        <w:rPr>
          <w:spacing w:val="-2"/>
        </w:rPr>
        <w:t>% in the period shown.</w:t>
      </w:r>
      <w:r w:rsidR="007B53D9">
        <w:rPr>
          <w:spacing w:val="-2"/>
        </w:rPr>
        <w:t xml:space="preserve">  Because of the upward revisions in 2024, employment gains in 2025 were downgraded from </w:t>
      </w:r>
      <w:r w:rsidR="0048147F">
        <w:rPr>
          <w:spacing w:val="-2"/>
        </w:rPr>
        <w:t>221</w:t>
      </w:r>
      <w:r w:rsidR="007B53D9">
        <w:rPr>
          <w:spacing w:val="-2"/>
        </w:rPr>
        <w:t xml:space="preserve">,100 to </w:t>
      </w:r>
      <w:r w:rsidR="0048147F">
        <w:rPr>
          <w:spacing w:val="-2"/>
        </w:rPr>
        <w:t>83,9</w:t>
      </w:r>
      <w:r w:rsidR="007B53D9">
        <w:rPr>
          <w:spacing w:val="-2"/>
        </w:rPr>
        <w:t xml:space="preserve">00, or </w:t>
      </w:r>
      <w:r w:rsidR="0048147F">
        <w:rPr>
          <w:spacing w:val="-2"/>
        </w:rPr>
        <w:t>7,0</w:t>
      </w:r>
      <w:r w:rsidR="007B53D9">
        <w:rPr>
          <w:spacing w:val="-2"/>
        </w:rPr>
        <w:t>00 a month.  Compared to pre-pandemic February 2020, employment is barely in recovery, showing a nominal gain of only 11,800.</w:t>
      </w:r>
    </w:p>
    <w:p w14:paraId="67545F65" w14:textId="78F7AA65" w:rsidR="004A3C71" w:rsidRDefault="005E2418" w:rsidP="004A3C71">
      <w:pPr>
        <w:pStyle w:val="BodyText"/>
        <w:spacing w:before="193" w:line="259" w:lineRule="auto"/>
        <w:ind w:left="100" w:right="403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3F5E3BC2" wp14:editId="79578075">
            <wp:extent cx="4250401" cy="2171722"/>
            <wp:effectExtent l="0" t="0" r="0" b="0"/>
            <wp:docPr id="16773878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787" cy="217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14722" w14:textId="7D49BE28" w:rsidR="007B53D9" w:rsidRDefault="007B53D9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 xml:space="preserve">Revisions to the unemployment numbers </w:t>
      </w:r>
      <w:r w:rsidR="00C407D3">
        <w:rPr>
          <w:spacing w:val="-2"/>
        </w:rPr>
        <w:t>showed a general increase in 2025</w:t>
      </w:r>
      <w:r>
        <w:rPr>
          <w:spacing w:val="-2"/>
        </w:rPr>
        <w:t>, with an average monthly adjustment of 0.</w:t>
      </w:r>
      <w:r w:rsidR="00E24AA9">
        <w:rPr>
          <w:spacing w:val="-2"/>
        </w:rPr>
        <w:t>18</w:t>
      </w:r>
      <w:r>
        <w:rPr>
          <w:spacing w:val="-2"/>
        </w:rPr>
        <w:t>%</w:t>
      </w:r>
      <w:r w:rsidR="00C407D3">
        <w:rPr>
          <w:spacing w:val="-2"/>
        </w:rPr>
        <w:t xml:space="preserve"> over the two years shown</w:t>
      </w:r>
      <w:r>
        <w:rPr>
          <w:spacing w:val="-2"/>
        </w:rPr>
        <w:t xml:space="preserve">.  Unemployment remained above the 1 million </w:t>
      </w:r>
      <w:proofErr w:type="gramStart"/>
      <w:r>
        <w:rPr>
          <w:spacing w:val="-2"/>
        </w:rPr>
        <w:t>mark</w:t>
      </w:r>
      <w:proofErr w:type="gramEnd"/>
      <w:r>
        <w:rPr>
          <w:spacing w:val="-2"/>
        </w:rPr>
        <w:t xml:space="preserve"> in every month beginning with January 2024.</w:t>
      </w:r>
    </w:p>
    <w:p w14:paraId="3A6516ED" w14:textId="0FB55D11" w:rsidR="007B53D9" w:rsidRDefault="007B53D9" w:rsidP="007B53D9">
      <w:pPr>
        <w:pStyle w:val="BodyText"/>
        <w:spacing w:before="193" w:line="259" w:lineRule="auto"/>
        <w:ind w:left="100" w:right="403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0ECAF0C0" wp14:editId="5DEF56F2">
            <wp:extent cx="4231713" cy="2166443"/>
            <wp:effectExtent l="0" t="0" r="0" b="5715"/>
            <wp:docPr id="7695918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06" cy="2174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F4732" w14:textId="32F815D4" w:rsidR="00E60F26" w:rsidRDefault="00E60F26" w:rsidP="00E60F26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>The annual revisions also reflect shrinkage within parts of the California economy.  EDD will no longer report on the following industries due to “</w:t>
      </w:r>
      <w:r w:rsidRPr="00E60F26">
        <w:rPr>
          <w:spacing w:val="-2"/>
        </w:rPr>
        <w:t>low or declining employment or sample coverage</w:t>
      </w:r>
      <w:r>
        <w:rPr>
          <w:spacing w:val="-2"/>
        </w:rPr>
        <w:t xml:space="preserve">.”  Notably, the affected industries include motor vehicle manufacturing as the state’s previous policy of developing an electric vehicle manufacturing industry </w:t>
      </w:r>
      <w:proofErr w:type="gramStart"/>
      <w:r>
        <w:rPr>
          <w:spacing w:val="-2"/>
        </w:rPr>
        <w:t>comes to a close</w:t>
      </w:r>
      <w:proofErr w:type="gramEnd"/>
      <w:r>
        <w:rPr>
          <w:spacing w:val="-2"/>
        </w:rPr>
        <w:t xml:space="preserve"> with the repurposing of Tesla’s Fremont plant.  Other basic manufacturing industries are included as well.</w:t>
      </w:r>
    </w:p>
    <w:p w14:paraId="6E5A862C" w14:textId="77777777" w:rsidR="00E60F26" w:rsidRDefault="00E60F26" w:rsidP="00E60F26">
      <w:pPr>
        <w:pStyle w:val="BodyText"/>
        <w:spacing w:before="193" w:line="259" w:lineRule="auto"/>
        <w:ind w:left="100" w:right="403"/>
        <w:rPr>
          <w:spacing w:val="-2"/>
        </w:rPr>
      </w:pPr>
    </w:p>
    <w:tbl>
      <w:tblPr>
        <w:tblW w:w="8730" w:type="dxa"/>
        <w:jc w:val="center"/>
        <w:tblLook w:val="04A0" w:firstRow="1" w:lastRow="0" w:firstColumn="1" w:lastColumn="0" w:noHBand="0" w:noVBand="1"/>
      </w:tblPr>
      <w:tblGrid>
        <w:gridCol w:w="1316"/>
        <w:gridCol w:w="7414"/>
      </w:tblGrid>
      <w:tr w:rsidR="00E60F26" w:rsidRPr="00E60F26" w14:paraId="44C20F78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0C29F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SS-NAICS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7032F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TITLE</w:t>
            </w:r>
          </w:p>
        </w:tc>
      </w:tr>
      <w:tr w:rsidR="00E60F26" w:rsidRPr="00E60F26" w14:paraId="3171BC18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4FEC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31-321900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F0F0F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Other Wood Product Manufacturing</w:t>
            </w:r>
          </w:p>
        </w:tc>
      </w:tr>
      <w:tr w:rsidR="00E60F26" w:rsidRPr="00E60F26" w14:paraId="4273144D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9B21E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31-321999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31B16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Wood Product Manufacturing - Residual</w:t>
            </w:r>
          </w:p>
        </w:tc>
      </w:tr>
      <w:tr w:rsidR="00E60F26" w:rsidRPr="00E60F26" w14:paraId="10BB6AD1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AACF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31-332300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BA310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Architectural and Structural Metals Manufacturing</w:t>
            </w:r>
          </w:p>
        </w:tc>
      </w:tr>
      <w:tr w:rsidR="00E60F26" w:rsidRPr="00E60F26" w14:paraId="351484D4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D8AC7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31-332700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A646" w14:textId="77CF7430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Machine Shops; turned Product; and Screw, Nut &amp; Bolt Manufacturing</w:t>
            </w:r>
          </w:p>
        </w:tc>
      </w:tr>
      <w:tr w:rsidR="00E60F26" w:rsidRPr="00E60F26" w14:paraId="7FB63467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87D3C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31-332900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628A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Other Fabricated Metal Product Manufacturing</w:t>
            </w:r>
          </w:p>
        </w:tc>
      </w:tr>
      <w:tr w:rsidR="00E60F26" w:rsidRPr="00E60F26" w14:paraId="76D67F57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53F51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31-332999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ACF7B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Fabricated Metal Product Manufacturing - Residual</w:t>
            </w:r>
          </w:p>
        </w:tc>
      </w:tr>
      <w:tr w:rsidR="00E60F26" w:rsidRPr="00E60F26" w14:paraId="78872F6D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02EC2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31-333200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8F96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 xml:space="preserve">Industrial Machinery Manufacturing </w:t>
            </w:r>
          </w:p>
        </w:tc>
      </w:tr>
      <w:tr w:rsidR="00E60F26" w:rsidRPr="00E60F26" w14:paraId="0B85F787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62CE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31-333300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5C91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Commercial and Service Industry Machinery Manufacturing</w:t>
            </w:r>
          </w:p>
        </w:tc>
      </w:tr>
      <w:tr w:rsidR="00E60F26" w:rsidRPr="00E60F26" w14:paraId="5138C5D8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5A925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31-333500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6C5A3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Metalworking Machinery Manufacturing</w:t>
            </w:r>
          </w:p>
        </w:tc>
      </w:tr>
      <w:tr w:rsidR="00E60F26" w:rsidRPr="00E60F26" w14:paraId="6F2E4299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E230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31-333900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4026F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Other General Purpose Machinery Manufacturing</w:t>
            </w:r>
          </w:p>
        </w:tc>
      </w:tr>
      <w:tr w:rsidR="00E60F26" w:rsidRPr="00E60F26" w14:paraId="5C7F1C14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E576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31-333999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8BFB2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Machinery manufacturing - Residual</w:t>
            </w:r>
          </w:p>
        </w:tc>
      </w:tr>
      <w:tr w:rsidR="00E60F26" w:rsidRPr="00E60F26" w14:paraId="5B2BDFC4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51465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31-336100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141A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Motor Vehicle Manufacturing</w:t>
            </w:r>
          </w:p>
        </w:tc>
      </w:tr>
      <w:tr w:rsidR="00E60F26" w:rsidRPr="00E60F26" w14:paraId="0678D3EB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4567E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32-311400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F605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Fruit and Vegetable Preserving and Specialty Manufacturing</w:t>
            </w:r>
          </w:p>
        </w:tc>
      </w:tr>
      <w:tr w:rsidR="00E60F26" w:rsidRPr="00E60F26" w14:paraId="524BE129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9764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32-313000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AB9EF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Textile Mills</w:t>
            </w:r>
          </w:p>
        </w:tc>
      </w:tr>
      <w:tr w:rsidR="00E60F26" w:rsidRPr="00E60F26" w14:paraId="4B79ADFA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CBD8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32-314000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F12A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Textile Product Mills</w:t>
            </w:r>
          </w:p>
        </w:tc>
      </w:tr>
      <w:tr w:rsidR="00E60F26" w:rsidRPr="00E60F26" w14:paraId="23E702F0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21DF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32-315100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1785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Apparel Knitting Mills</w:t>
            </w:r>
          </w:p>
        </w:tc>
      </w:tr>
      <w:tr w:rsidR="00E60F26" w:rsidRPr="00E60F26" w14:paraId="6CF17444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87ED0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32-322200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5D24B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Converted Paper Product Manufacturing</w:t>
            </w:r>
          </w:p>
        </w:tc>
      </w:tr>
      <w:tr w:rsidR="00E60F26" w:rsidRPr="00E60F26" w14:paraId="5278CEB3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639A3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32-322299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DC91A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Paper Manufacturing - Residual</w:t>
            </w:r>
          </w:p>
        </w:tc>
      </w:tr>
      <w:tr w:rsidR="00E60F26" w:rsidRPr="00E60F26" w14:paraId="4A7CA536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E8436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32-325600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30DFD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Soap, Cleaning Compound, and Toilet Preparation</w:t>
            </w:r>
          </w:p>
        </w:tc>
      </w:tr>
      <w:tr w:rsidR="00E60F26" w:rsidRPr="00E60F26" w14:paraId="419142BC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ADDAA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41-423200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7C74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Furniture and Home Furnishing Merchant Wholesalers</w:t>
            </w:r>
          </w:p>
        </w:tc>
      </w:tr>
      <w:tr w:rsidR="00E60F26" w:rsidRPr="00E60F26" w14:paraId="4F42CD62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A02E8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41-423300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E6B9B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Lumber and Other Construction Materials, Merchant Wholesalers</w:t>
            </w:r>
          </w:p>
        </w:tc>
      </w:tr>
      <w:tr w:rsidR="00E60F26" w:rsidRPr="00E60F26" w14:paraId="6285C525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E0BA8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41-423700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0AD2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Hardware, and Plumbing and Heating Equipment and Supplies Merchant Wholesalers</w:t>
            </w:r>
          </w:p>
        </w:tc>
      </w:tr>
      <w:tr w:rsidR="00E60F26" w:rsidRPr="00E60F26" w14:paraId="18CF591D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918BF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41-423800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3E57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Machinery, Equipment, and Supplies Merchant Wholesalers</w:t>
            </w:r>
          </w:p>
        </w:tc>
      </w:tr>
      <w:tr w:rsidR="00E60F26" w:rsidRPr="00E60F26" w14:paraId="4E950EA0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A6847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41-424100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F5537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Paper and Paper Product Merchant Wholesalers</w:t>
            </w:r>
          </w:p>
        </w:tc>
      </w:tr>
      <w:tr w:rsidR="00E60F26" w:rsidRPr="00E60F26" w14:paraId="4ADC267D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DC7A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41-424600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D11AF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Chemical and Allied Products Merchant Wholesalers</w:t>
            </w:r>
          </w:p>
        </w:tc>
      </w:tr>
      <w:tr w:rsidR="00E60F26" w:rsidRPr="00E60F26" w14:paraId="7906E796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D60EC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42-459200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C43EE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Book Retailers and News Dealers</w:t>
            </w:r>
          </w:p>
        </w:tc>
      </w:tr>
      <w:tr w:rsidR="00E60F26" w:rsidRPr="00E60F26" w14:paraId="0803CD1A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F5570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42-459500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D6B8D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Used Merchandise Retailers</w:t>
            </w:r>
          </w:p>
        </w:tc>
      </w:tr>
      <w:tr w:rsidR="00E60F26" w:rsidRPr="00E60F26" w14:paraId="413ACAD6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01FDC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44-221100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0459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Electric Power Generation, Transmission and Distribution</w:t>
            </w:r>
          </w:p>
        </w:tc>
      </w:tr>
      <w:tr w:rsidR="00E60F26" w:rsidRPr="00E60F26" w14:paraId="60F0E2FA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43B01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43-481100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83EDF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Scheduled Air Transportation</w:t>
            </w:r>
          </w:p>
        </w:tc>
      </w:tr>
      <w:tr w:rsidR="00E60F26" w:rsidRPr="00E60F26" w14:paraId="574CCD0A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754D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43-488400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0D4B5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Support Activities for Road Transportation</w:t>
            </w:r>
          </w:p>
        </w:tc>
      </w:tr>
      <w:tr w:rsidR="00E60F26" w:rsidRPr="00E60F26" w14:paraId="7BE9EC2C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D5B2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50-517111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D811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Wired Telecommunications Carriers</w:t>
            </w:r>
          </w:p>
        </w:tc>
      </w:tr>
      <w:tr w:rsidR="00E60F26" w:rsidRPr="00E60F26" w14:paraId="13D7C7E0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658AE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55-523100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4FF6C" w14:textId="7F36E3D6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Securities and Commodity Contracts Intermediation &amp; Exchanges</w:t>
            </w:r>
          </w:p>
        </w:tc>
      </w:tr>
      <w:tr w:rsidR="00E60F26" w:rsidRPr="00E60F26" w14:paraId="13A07EFB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96BE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55-523900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2E3F8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Other Financial Investment Activities</w:t>
            </w:r>
          </w:p>
        </w:tc>
      </w:tr>
      <w:tr w:rsidR="00E60F26" w:rsidRPr="00E60F26" w14:paraId="51704537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2D84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55-523999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DB9F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 xml:space="preserve">Financial Investments and Related Activities </w:t>
            </w:r>
          </w:p>
        </w:tc>
      </w:tr>
      <w:tr w:rsidR="00E60F26" w:rsidRPr="00E60F26" w14:paraId="42ECC1ED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42BE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65-611200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6536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Private Junior Colleges</w:t>
            </w:r>
          </w:p>
        </w:tc>
      </w:tr>
      <w:tr w:rsidR="00E60F26" w:rsidRPr="00E60F26" w14:paraId="4F5A650C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7DDD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70-711100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35D0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Performing Arts Companies</w:t>
            </w:r>
          </w:p>
        </w:tc>
      </w:tr>
      <w:tr w:rsidR="00E60F26" w:rsidRPr="00E60F26" w14:paraId="09C2368C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5A32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70-711200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80C08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Spectator Sports</w:t>
            </w:r>
          </w:p>
        </w:tc>
      </w:tr>
      <w:tr w:rsidR="00E60F26" w:rsidRPr="00E60F26" w14:paraId="13F3B3EA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4FB5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80-811300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5C216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Commercial and Industrial Machinery and Equipment</w:t>
            </w:r>
          </w:p>
        </w:tc>
      </w:tr>
      <w:tr w:rsidR="00E60F26" w:rsidRPr="00E60F26" w14:paraId="3B40B91A" w14:textId="77777777" w:rsidTr="00E60F26">
        <w:trPr>
          <w:trHeight w:hRule="exact" w:val="245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DD65" w14:textId="77777777" w:rsidR="00E60F26" w:rsidRPr="00E60F26" w:rsidRDefault="00E60F26" w:rsidP="00E60F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80-811400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26D0" w14:textId="77777777" w:rsidR="00E60F26" w:rsidRPr="00E60F26" w:rsidRDefault="00E60F26" w:rsidP="00E60F2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  <w:r w:rsidRPr="00E60F26">
              <w:rPr>
                <w:rFonts w:ascii="Arial" w:eastAsia="Times New Roman" w:hAnsi="Arial" w:cs="Arial"/>
                <w:sz w:val="18"/>
                <w:szCs w:val="18"/>
              </w:rPr>
              <w:t>Personal and Household Goods Repair and Maintenance</w:t>
            </w:r>
          </w:p>
        </w:tc>
      </w:tr>
    </w:tbl>
    <w:p w14:paraId="339810C2" w14:textId="04C9AA48" w:rsidR="00C15B7B" w:rsidRDefault="00C15B7B" w:rsidP="00CF42EE">
      <w:pPr>
        <w:spacing w:before="161"/>
        <w:ind w:left="100"/>
        <w:rPr>
          <w:b/>
          <w:sz w:val="28"/>
        </w:rPr>
      </w:pPr>
      <w:r>
        <w:rPr>
          <w:b/>
          <w:sz w:val="28"/>
        </w:rPr>
        <w:t xml:space="preserve">Nonfarm Jobs </w:t>
      </w:r>
      <w:r w:rsidR="00005606">
        <w:rPr>
          <w:b/>
          <w:sz w:val="28"/>
        </w:rPr>
        <w:t>Up 93,500</w:t>
      </w:r>
      <w:r w:rsidR="001334D6">
        <w:rPr>
          <w:b/>
          <w:sz w:val="28"/>
        </w:rPr>
        <w:t xml:space="preserve"> in the Preliminary Estimate</w:t>
      </w:r>
      <w:r w:rsidR="009515E8">
        <w:rPr>
          <w:b/>
          <w:sz w:val="28"/>
        </w:rPr>
        <w:t xml:space="preserve">; </w:t>
      </w:r>
      <w:r w:rsidR="00005606">
        <w:rPr>
          <w:b/>
          <w:sz w:val="28"/>
        </w:rPr>
        <w:t>131,200 Gain</w:t>
      </w:r>
      <w:r w:rsidR="009515E8">
        <w:rPr>
          <w:b/>
          <w:sz w:val="28"/>
        </w:rPr>
        <w:t xml:space="preserve"> </w:t>
      </w:r>
      <w:r w:rsidR="00CE4964">
        <w:rPr>
          <w:b/>
          <w:sz w:val="28"/>
        </w:rPr>
        <w:t>for the Year</w:t>
      </w:r>
    </w:p>
    <w:p w14:paraId="66575DAD" w14:textId="77777777" w:rsidR="009515E8" w:rsidRDefault="009515E8" w:rsidP="009515E8"/>
    <w:p w14:paraId="4AFFCE00" w14:textId="0ADAD39F" w:rsidR="00C15B7B" w:rsidRDefault="005B6E9D" w:rsidP="009515E8">
      <w:pPr>
        <w:ind w:left="90"/>
      </w:pPr>
      <w:r>
        <w:t xml:space="preserve">Nonfarm wage and salary jobs (seasonally adjusted) </w:t>
      </w:r>
      <w:r w:rsidR="00005606">
        <w:t>grew 93,500</w:t>
      </w:r>
      <w:r>
        <w:t xml:space="preserve"> in the preliminary estimate for </w:t>
      </w:r>
      <w:r w:rsidR="00005606">
        <w:t>January</w:t>
      </w:r>
      <w:r>
        <w:t xml:space="preserve">.  </w:t>
      </w:r>
      <w:r w:rsidR="00005606">
        <w:t>December’s losses</w:t>
      </w:r>
      <w:r w:rsidR="00CE4964">
        <w:t xml:space="preserve"> were </w:t>
      </w:r>
      <w:r w:rsidR="00005606">
        <w:t>revised to a nominal gain of 3,500</w:t>
      </w:r>
      <w:r>
        <w:t xml:space="preserve">.  </w:t>
      </w:r>
      <w:r w:rsidR="00CE4964">
        <w:t xml:space="preserve">For the year, the preliminary </w:t>
      </w:r>
      <w:r w:rsidR="00005606">
        <w:t>January</w:t>
      </w:r>
      <w:r w:rsidR="00CE4964">
        <w:t xml:space="preserve"> </w:t>
      </w:r>
      <w:proofErr w:type="gramStart"/>
      <w:r w:rsidR="00CE4964">
        <w:t>numbers</w:t>
      </w:r>
      <w:proofErr w:type="gramEnd"/>
      <w:r w:rsidR="00CE4964">
        <w:t xml:space="preserve"> </w:t>
      </w:r>
      <w:r w:rsidR="00005606">
        <w:t>combined with the revisions showed a gain of 131,200.</w:t>
      </w:r>
      <w:r w:rsidR="00142C4B">
        <w:t xml:space="preserve">  </w:t>
      </w:r>
    </w:p>
    <w:p w14:paraId="06F6C6A6" w14:textId="77777777" w:rsidR="009515E8" w:rsidRDefault="009515E8" w:rsidP="009515E8">
      <w:pPr>
        <w:ind w:left="90"/>
      </w:pPr>
    </w:p>
    <w:p w14:paraId="768522D0" w14:textId="7BACEB3A" w:rsidR="00EE1C37" w:rsidRDefault="00891F75" w:rsidP="00C6751B">
      <w:r>
        <w:t xml:space="preserve">By industry, </w:t>
      </w:r>
      <w:r w:rsidR="00C6751B">
        <w:t xml:space="preserve">the preliminary January numbers still show government and government-supported Healthcare &amp; Social Services dominating the numbers.  However, the January uptick also finally shows growth in the other private industries, primarily Accommodation &amp; Food Services, Other Services, and </w:t>
      </w:r>
      <w:r w:rsidR="00C6751B" w:rsidRPr="00C6751B">
        <w:t>Professional, Scientific &amp; Technical Services</w:t>
      </w:r>
      <w:r w:rsidR="00C6751B">
        <w:t>.  These preliminary results, however, will be affected by the upcoming monthly revisions.</w:t>
      </w:r>
      <w:r w:rsidR="00E60F26">
        <w:t xml:space="preserve">  The January numbers moreover still show the Other Private Industries 309,500 off their peak in September 2022.</w:t>
      </w:r>
    </w:p>
    <w:p w14:paraId="0FCC8F8E" w14:textId="77777777" w:rsidR="00EE1C37" w:rsidRDefault="00EE1C37" w:rsidP="009515E8"/>
    <w:tbl>
      <w:tblPr>
        <w:tblW w:w="8910" w:type="dxa"/>
        <w:jc w:val="center"/>
        <w:tblLook w:val="04A0" w:firstRow="1" w:lastRow="0" w:firstColumn="1" w:lastColumn="0" w:noHBand="0" w:noVBand="1"/>
      </w:tblPr>
      <w:tblGrid>
        <w:gridCol w:w="5850"/>
        <w:gridCol w:w="1400"/>
        <w:gridCol w:w="1660"/>
      </w:tblGrid>
      <w:tr w:rsidR="00E543B1" w:rsidRPr="00CB27C0" w14:paraId="6B6607EF" w14:textId="77777777" w:rsidTr="00C94626">
        <w:trPr>
          <w:trHeight w:val="315"/>
          <w:jc w:val="center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1F1CC" w14:textId="77777777" w:rsidR="00E543B1" w:rsidRPr="00CB27C0" w:rsidRDefault="00E543B1" w:rsidP="00C946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Change in Nonfarm Jobs by Industry</w:t>
            </w:r>
          </w:p>
        </w:tc>
      </w:tr>
      <w:tr w:rsidR="00E543B1" w:rsidRPr="00CB27C0" w14:paraId="150024F4" w14:textId="77777777" w:rsidTr="00C94626">
        <w:trPr>
          <w:trHeight w:val="300"/>
          <w:jc w:val="center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3A16" w14:textId="77777777" w:rsidR="00E543B1" w:rsidRPr="00CB27C0" w:rsidRDefault="00E543B1" w:rsidP="00C94626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B27C0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Source:  EDD, seasonally adjusted</w:t>
            </w:r>
          </w:p>
        </w:tc>
      </w:tr>
      <w:tr w:rsidR="00E543B1" w:rsidRPr="00CB27C0" w14:paraId="32C4959B" w14:textId="77777777" w:rsidTr="00C94626">
        <w:trPr>
          <w:trHeight w:val="315"/>
          <w:jc w:val="center"/>
        </w:trPr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9658A4" w14:textId="77777777" w:rsidR="00E543B1" w:rsidRPr="00CB27C0" w:rsidRDefault="00E543B1" w:rsidP="00C9462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D367AA" w14:textId="77777777" w:rsidR="00E543B1" w:rsidRPr="00CB27C0" w:rsidRDefault="00E543B1" w:rsidP="00C9462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3CC7AA" w14:textId="77777777" w:rsidR="00E543B1" w:rsidRPr="00CB27C0" w:rsidRDefault="00E543B1" w:rsidP="00C9462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6751B" w:rsidRPr="00CB27C0" w14:paraId="0AE46455" w14:textId="77777777" w:rsidTr="00BB0447">
        <w:trPr>
          <w:trHeight w:val="315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34C6" w14:textId="77777777" w:rsidR="00C6751B" w:rsidRPr="00CB27C0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71651F" w14:textId="724E1BB8" w:rsidR="00C6751B" w:rsidRPr="00CB27C0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From Dec 2025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14442" w14:textId="09737FA1" w:rsidR="00C6751B" w:rsidRPr="00CB27C0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From Jan 2024</w:t>
            </w:r>
          </w:p>
        </w:tc>
      </w:tr>
      <w:tr w:rsidR="00C6751B" w:rsidRPr="00740AE6" w14:paraId="002BC2C9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C7E0" w14:textId="77777777" w:rsidR="00C6751B" w:rsidRPr="00CB27C0" w:rsidRDefault="00C6751B" w:rsidP="00C6751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Nonfarm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5C2A8" w14:textId="60FFCBC5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93,500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95842" w14:textId="3E0D8263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131,200</w:t>
            </w:r>
          </w:p>
        </w:tc>
      </w:tr>
      <w:tr w:rsidR="00C6751B" w:rsidRPr="00740AE6" w14:paraId="0A40365C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39B1" w14:textId="77777777" w:rsidR="00C6751B" w:rsidRPr="00CB27C0" w:rsidRDefault="00C6751B" w:rsidP="00C6751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Government &amp; Government Supported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F646" w14:textId="41086727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D9B6B" w14:textId="54468321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99,900</w:t>
            </w:r>
          </w:p>
        </w:tc>
      </w:tr>
      <w:tr w:rsidR="00C6751B" w:rsidRPr="00740AE6" w14:paraId="080D3630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283C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Government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E6435" w14:textId="0E689334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-1,300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19FF" w14:textId="30BD37F9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-75,200</w:t>
            </w:r>
          </w:p>
        </w:tc>
      </w:tr>
      <w:tr w:rsidR="00C6751B" w:rsidRPr="00740AE6" w14:paraId="1F7F9896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8E26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Health Care &amp; Social Assistance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4948" w14:textId="6C03B9F0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2433" w14:textId="5222B757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175,100</w:t>
            </w:r>
          </w:p>
        </w:tc>
      </w:tr>
      <w:tr w:rsidR="00C6751B" w:rsidRPr="00740AE6" w14:paraId="1C447312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8715" w14:textId="77777777" w:rsidR="00C6751B" w:rsidRPr="00CB27C0" w:rsidRDefault="00C6751B" w:rsidP="00C6751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Other Private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4339B" w14:textId="713DFC79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C8844" w14:textId="43D4DBD9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31,300</w:t>
            </w:r>
          </w:p>
        </w:tc>
      </w:tr>
      <w:tr w:rsidR="00C6751B" w:rsidRPr="00740AE6" w14:paraId="0B91A2C4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2F44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Mining &amp; Logging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003F" w14:textId="02F1B655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41BC" w14:textId="48C1B7DA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-400</w:t>
            </w:r>
          </w:p>
        </w:tc>
      </w:tr>
      <w:tr w:rsidR="00C6751B" w:rsidRPr="00740AE6" w14:paraId="47995E6D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DE808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Construction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B68E7" w14:textId="68FC5147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3245" w14:textId="1596E9D8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-15,400</w:t>
            </w:r>
          </w:p>
        </w:tc>
      </w:tr>
      <w:tr w:rsidR="00C6751B" w:rsidRPr="00740AE6" w14:paraId="10A26873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861DF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Manufacturing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FA5E4" w14:textId="6058CAEB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BFBA9" w14:textId="0B75DBEA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-16,600</w:t>
            </w:r>
          </w:p>
        </w:tc>
      </w:tr>
      <w:tr w:rsidR="00C6751B" w:rsidRPr="00740AE6" w14:paraId="0C7F8150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C68A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Wholesale Trade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6FE6" w14:textId="7C8F8DC6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FCD9B" w14:textId="46C71F1B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-1,600</w:t>
            </w:r>
          </w:p>
        </w:tc>
      </w:tr>
      <w:tr w:rsidR="00C6751B" w:rsidRPr="00740AE6" w14:paraId="56BBE86B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90EA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Retail Trade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12FC" w14:textId="2744DCB2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92D4E" w14:textId="21842296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-5,500</w:t>
            </w:r>
          </w:p>
        </w:tc>
      </w:tr>
      <w:tr w:rsidR="00C6751B" w:rsidRPr="00740AE6" w14:paraId="0C3ADC46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03DF9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Transportation, Warehousing &amp; Utilities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6188E" w14:textId="6EB901A6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8C1AE" w14:textId="564A8DA3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C6751B" w:rsidRPr="00740AE6" w14:paraId="0BD0B7DC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1156A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Information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F4EE3" w14:textId="7F6BF7BE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229F7" w14:textId="2C5EB9AF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-2,400</w:t>
            </w:r>
          </w:p>
        </w:tc>
      </w:tr>
      <w:tr w:rsidR="00C6751B" w:rsidRPr="00740AE6" w14:paraId="5B739820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1F34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Finance &amp; Insurance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F525" w14:textId="0C241516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84B76" w14:textId="28139C74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-700</w:t>
            </w:r>
          </w:p>
        </w:tc>
      </w:tr>
      <w:tr w:rsidR="00C6751B" w:rsidRPr="00740AE6" w14:paraId="3763B4E6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FEE8B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Real Estate &amp; Rental &amp; Leasing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F526B" w14:textId="47A3D84E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99986" w14:textId="73DB9DEF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-4,000</w:t>
            </w:r>
          </w:p>
        </w:tc>
      </w:tr>
      <w:tr w:rsidR="00C6751B" w:rsidRPr="00740AE6" w14:paraId="244039DB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FA1EB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Professional, Scientific &amp; Technical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356FC" w14:textId="75752F53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FE9B" w14:textId="07652F1E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15,400</w:t>
            </w:r>
          </w:p>
        </w:tc>
      </w:tr>
      <w:tr w:rsidR="00C6751B" w:rsidRPr="00740AE6" w14:paraId="5C1899AF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4D37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Management of Companies &amp; Enterprises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1BD6" w14:textId="1121E318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A6F3" w14:textId="302C8A54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-2,800</w:t>
            </w:r>
          </w:p>
        </w:tc>
      </w:tr>
      <w:tr w:rsidR="00C6751B" w:rsidRPr="00740AE6" w14:paraId="7362A375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CAD82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Administrative &amp; Support &amp; Waste Management &amp; Remediation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3362" w14:textId="642EA61A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2AAA" w14:textId="605953D1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-3,900</w:t>
            </w:r>
          </w:p>
        </w:tc>
      </w:tr>
      <w:tr w:rsidR="00C6751B" w:rsidRPr="00740AE6" w14:paraId="0E230CC5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5A855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Private Educational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7CDB" w14:textId="12FD4175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D84F8" w14:textId="54741375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17,000</w:t>
            </w:r>
          </w:p>
        </w:tc>
      </w:tr>
      <w:tr w:rsidR="00C6751B" w:rsidRPr="00740AE6" w14:paraId="4135B064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908B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Arts, Entertainment &amp; Recreation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206E" w14:textId="25218EEB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E038" w14:textId="7C765D57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4,300</w:t>
            </w:r>
          </w:p>
        </w:tc>
      </w:tr>
      <w:tr w:rsidR="00C6751B" w:rsidRPr="00740AE6" w14:paraId="7FCBCABB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CC352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Accommodation &amp; Food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DF635" w14:textId="4CBAC189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B2BCB" w14:textId="0A2A8871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33,000</w:t>
            </w:r>
          </w:p>
        </w:tc>
      </w:tr>
      <w:tr w:rsidR="00C6751B" w:rsidRPr="00740AE6" w14:paraId="6C0672BE" w14:textId="77777777" w:rsidTr="00F46BD8">
        <w:trPr>
          <w:trHeight w:val="315"/>
          <w:jc w:val="center"/>
        </w:trPr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2D6CC8" w14:textId="77777777" w:rsidR="00C6751B" w:rsidRPr="00CB27C0" w:rsidRDefault="00C6751B" w:rsidP="00C6751B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Other Services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B31072" w14:textId="33731D97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8AAC73" w14:textId="3C28E0EB" w:rsidR="00C6751B" w:rsidRPr="00740AE6" w:rsidRDefault="00C6751B" w:rsidP="00C6751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14,700</w:t>
            </w:r>
          </w:p>
        </w:tc>
      </w:tr>
    </w:tbl>
    <w:p w14:paraId="3B205D8E" w14:textId="77777777" w:rsidR="004764FD" w:rsidRDefault="004764FD" w:rsidP="00CF42EE">
      <w:pPr>
        <w:spacing w:before="161"/>
        <w:ind w:left="100"/>
        <w:rPr>
          <w:bCs/>
        </w:rPr>
      </w:pPr>
    </w:p>
    <w:p w14:paraId="1707032B" w14:textId="7B1D4D53" w:rsidR="00CF42EE" w:rsidRDefault="00CF42EE" w:rsidP="00CF42EE">
      <w:pPr>
        <w:spacing w:before="161"/>
        <w:ind w:left="100"/>
        <w:rPr>
          <w:b/>
          <w:sz w:val="20"/>
          <w:szCs w:val="20"/>
        </w:rPr>
      </w:pPr>
      <w:r>
        <w:rPr>
          <w:b/>
          <w:sz w:val="28"/>
        </w:rPr>
        <w:t>California Labor Force</w:t>
      </w:r>
    </w:p>
    <w:p w14:paraId="03113642" w14:textId="77777777" w:rsidR="00CF42EE" w:rsidRDefault="00CF42EE" w:rsidP="00CF42EE">
      <w:pPr>
        <w:spacing w:before="161"/>
        <w:ind w:left="100"/>
        <w:rPr>
          <w:b/>
          <w:sz w:val="20"/>
          <w:szCs w:val="20"/>
        </w:rPr>
      </w:pPr>
    </w:p>
    <w:tbl>
      <w:tblPr>
        <w:tblW w:w="6258" w:type="dxa"/>
        <w:jc w:val="center"/>
        <w:tblLook w:val="04A0" w:firstRow="1" w:lastRow="0" w:firstColumn="1" w:lastColumn="0" w:noHBand="0" w:noVBand="1"/>
      </w:tblPr>
      <w:tblGrid>
        <w:gridCol w:w="1960"/>
        <w:gridCol w:w="1127"/>
        <w:gridCol w:w="840"/>
        <w:gridCol w:w="262"/>
        <w:gridCol w:w="1229"/>
        <w:gridCol w:w="840"/>
      </w:tblGrid>
      <w:tr w:rsidR="00CF42EE" w:rsidRPr="0023248A" w14:paraId="0D84489C" w14:textId="77777777" w:rsidTr="00F02E8D">
        <w:trPr>
          <w:trHeight w:val="289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465B26D7" w14:textId="77777777" w:rsidR="00CF42EE" w:rsidRPr="0023248A" w:rsidRDefault="00CF42EE" w:rsidP="00F02E8D">
            <w:pPr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Seasonally Adjusted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31EDEE09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California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0FD19747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76A5479F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3DB98DE1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1284D8F7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C36B2" w:rsidRPr="0023248A" w14:paraId="3D9B64B0" w14:textId="77777777" w:rsidTr="00F02E8D">
        <w:trPr>
          <w:trHeight w:val="36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4A16" w14:textId="3604DB35" w:rsidR="003C36B2" w:rsidRPr="0023248A" w:rsidRDefault="003C36B2" w:rsidP="003C36B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0F76C" w14:textId="297132F6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Jan 2026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0C460" w14:textId="4671C76D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Change from Dec 2025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A5E0F" w14:textId="1333DDE1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72E5A" w14:textId="1F763680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Jan 2026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28C9" w14:textId="76E0D436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Change from Dec 2025</w:t>
            </w:r>
          </w:p>
        </w:tc>
      </w:tr>
      <w:tr w:rsidR="003C36B2" w:rsidRPr="0023248A" w14:paraId="4F6FA85E" w14:textId="77777777" w:rsidTr="00F02E8D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7A39" w14:textId="437F16A3" w:rsidR="003C36B2" w:rsidRPr="0023248A" w:rsidRDefault="003C36B2" w:rsidP="003C36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Unemployment Rate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79EB7" w14:textId="104A700F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0D3A8" w14:textId="78587C7F" w:rsidR="003C36B2" w:rsidRPr="00BB292D" w:rsidRDefault="003C36B2" w:rsidP="003C36B2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-0.1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4B390" w14:textId="0BD84098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98BDB" w14:textId="71087B20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723A8" w14:textId="589F6955" w:rsidR="003C36B2" w:rsidRPr="00345F4C" w:rsidRDefault="003C36B2" w:rsidP="003C36B2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-0.1</w:t>
            </w:r>
          </w:p>
        </w:tc>
      </w:tr>
      <w:tr w:rsidR="003C36B2" w:rsidRPr="0023248A" w14:paraId="599FB4EB" w14:textId="77777777" w:rsidTr="00F02E8D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AEACE" w14:textId="2A91A82E" w:rsidR="003C36B2" w:rsidRPr="0023248A" w:rsidRDefault="003C36B2" w:rsidP="003C36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 Force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E8D59" w14:textId="5E603CC1" w:rsidR="003C36B2" w:rsidRPr="0023248A" w:rsidRDefault="003C36B2" w:rsidP="003C36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19,862,200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13EC2" w14:textId="16F589A0" w:rsidR="003C36B2" w:rsidRPr="00481731" w:rsidRDefault="003C36B2" w:rsidP="003C36B2">
            <w:pPr>
              <w:jc w:val="right"/>
              <w:rPr>
                <w:color w:val="000000"/>
                <w:sz w:val="20"/>
                <w:szCs w:val="20"/>
              </w:rPr>
            </w:pPr>
            <w:r w:rsidRPr="003C36B2">
              <w:rPr>
                <w:color w:val="EE0000"/>
                <w:sz w:val="20"/>
                <w:szCs w:val="20"/>
              </w:rPr>
              <w:t>-0.1%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197DC" w14:textId="6E937E49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B7E4D" w14:textId="35F8C3DB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170,465,000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56B2" w14:textId="449194EE" w:rsidR="003C36B2" w:rsidRPr="00F272AB" w:rsidRDefault="003C36B2" w:rsidP="003C36B2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3C36B2">
              <w:rPr>
                <w:color w:val="EE0000"/>
                <w:sz w:val="20"/>
                <w:szCs w:val="20"/>
              </w:rPr>
              <w:t>-0.6%</w:t>
            </w:r>
          </w:p>
        </w:tc>
      </w:tr>
      <w:tr w:rsidR="003C36B2" w:rsidRPr="0023248A" w14:paraId="6E729AFB" w14:textId="77777777" w:rsidTr="00DD2EB3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C756F" w14:textId="58F57F79" w:rsidR="003C36B2" w:rsidRPr="0023248A" w:rsidRDefault="003C36B2" w:rsidP="003C36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Participation Rate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6209E7" w14:textId="548CAD07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22AFF2" w14:textId="189174AF" w:rsidR="003C36B2" w:rsidRPr="00BB292D" w:rsidRDefault="003C36B2" w:rsidP="003C36B2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4A644" w14:textId="544F27EB" w:rsidR="003C36B2" w:rsidRPr="0023248A" w:rsidRDefault="003C36B2" w:rsidP="003C36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B3FE4" w14:textId="5C68AE1A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62.1%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EE8B8" w14:textId="17B765F7" w:rsidR="003C36B2" w:rsidRPr="00F272AB" w:rsidRDefault="003C36B2" w:rsidP="003C36B2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3C36B2">
              <w:rPr>
                <w:color w:val="EE0000"/>
                <w:sz w:val="20"/>
                <w:szCs w:val="20"/>
              </w:rPr>
              <w:t>-0.3</w:t>
            </w:r>
          </w:p>
        </w:tc>
      </w:tr>
      <w:tr w:rsidR="003C36B2" w:rsidRPr="0023248A" w14:paraId="6400930B" w14:textId="77777777" w:rsidTr="00040ADE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07B9B" w14:textId="16347911" w:rsidR="003C36B2" w:rsidRPr="0023248A" w:rsidRDefault="003C36B2" w:rsidP="003C36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2BCDB" w14:textId="40F3DBDA" w:rsidR="003C36B2" w:rsidRPr="00481731" w:rsidRDefault="003C36B2" w:rsidP="003C3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18,779,800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3E557" w14:textId="28DA762F" w:rsidR="003C36B2" w:rsidRPr="00F272AB" w:rsidRDefault="003C36B2" w:rsidP="003C36B2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3C36B2">
              <w:rPr>
                <w:color w:val="EE0000"/>
                <w:sz w:val="20"/>
                <w:szCs w:val="20"/>
              </w:rPr>
              <w:t>0.0%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214E5" w14:textId="4BEC1C6C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86A50" w14:textId="13B27A94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163,097,000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33FBA" w14:textId="67F0C573" w:rsidR="003C36B2" w:rsidRPr="00F272AB" w:rsidRDefault="003C36B2" w:rsidP="003C36B2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3C36B2">
              <w:rPr>
                <w:color w:val="EE0000"/>
                <w:sz w:val="20"/>
                <w:szCs w:val="20"/>
              </w:rPr>
              <w:t>-0.5%</w:t>
            </w:r>
          </w:p>
        </w:tc>
      </w:tr>
      <w:tr w:rsidR="003C36B2" w:rsidRPr="0023248A" w14:paraId="79A6CD69" w14:textId="77777777" w:rsidTr="00040ADE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E9FC" w14:textId="5BBF16F4" w:rsidR="003C36B2" w:rsidRPr="0023248A" w:rsidRDefault="003C36B2" w:rsidP="003C36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Unemployment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E2BFC" w14:textId="4649BA73" w:rsidR="003C36B2" w:rsidRPr="00481731" w:rsidRDefault="003C36B2" w:rsidP="003C3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1,082,300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A284D" w14:textId="4DA209E2" w:rsidR="003C36B2" w:rsidRPr="00F272AB" w:rsidRDefault="003C36B2" w:rsidP="003C36B2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-1.0%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9164B" w14:textId="3892DFCE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9330F" w14:textId="3388DF4B" w:rsidR="003C36B2" w:rsidRPr="0023248A" w:rsidRDefault="003C36B2" w:rsidP="003C36B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7,368,000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88AEF" w14:textId="6B518448" w:rsidR="003C36B2" w:rsidRPr="00F272AB" w:rsidRDefault="003C36B2" w:rsidP="003C36B2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-1.8%</w:t>
            </w:r>
          </w:p>
        </w:tc>
      </w:tr>
    </w:tbl>
    <w:p w14:paraId="0F233D25" w14:textId="77777777" w:rsidR="00CF42EE" w:rsidRDefault="00CF42EE" w:rsidP="00CF42EE">
      <w:pPr>
        <w:spacing w:before="161"/>
        <w:ind w:left="100"/>
        <w:rPr>
          <w:b/>
          <w:sz w:val="20"/>
          <w:szCs w:val="20"/>
        </w:rPr>
      </w:pPr>
    </w:p>
    <w:tbl>
      <w:tblPr>
        <w:tblW w:w="6660" w:type="dxa"/>
        <w:jc w:val="center"/>
        <w:tblLook w:val="04A0" w:firstRow="1" w:lastRow="0" w:firstColumn="1" w:lastColumn="0" w:noHBand="0" w:noVBand="1"/>
      </w:tblPr>
      <w:tblGrid>
        <w:gridCol w:w="1960"/>
        <w:gridCol w:w="1127"/>
        <w:gridCol w:w="1010"/>
        <w:gridCol w:w="262"/>
        <w:gridCol w:w="1229"/>
        <w:gridCol w:w="1072"/>
      </w:tblGrid>
      <w:tr w:rsidR="003C36B2" w:rsidRPr="003C36B2" w14:paraId="4D4F3D08" w14:textId="77777777" w:rsidTr="003C36B2">
        <w:trPr>
          <w:trHeight w:val="33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5683656F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3C36B2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Not Seasonally Adjusted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09D7290C" w14:textId="77777777" w:rsidR="003C36B2" w:rsidRPr="003C36B2" w:rsidRDefault="003C36B2" w:rsidP="003C36B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3C36B2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California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1E4E5D0C" w14:textId="77777777" w:rsidR="003C36B2" w:rsidRPr="003C36B2" w:rsidRDefault="003C36B2" w:rsidP="003C36B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3C36B2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3F5444DD" w14:textId="77777777" w:rsidR="003C36B2" w:rsidRPr="003C36B2" w:rsidRDefault="003C36B2" w:rsidP="003C36B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3C36B2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1EE2B245" w14:textId="77777777" w:rsidR="003C36B2" w:rsidRPr="003C36B2" w:rsidRDefault="003C36B2" w:rsidP="003C36B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3C36B2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79DDCEB0" w14:textId="77777777" w:rsidR="003C36B2" w:rsidRPr="003C36B2" w:rsidRDefault="003C36B2" w:rsidP="003C36B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3C36B2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C36B2" w:rsidRPr="003C36B2" w14:paraId="7B1D4E2C" w14:textId="77777777" w:rsidTr="003C36B2">
        <w:trPr>
          <w:trHeight w:val="36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548ED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3C36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B90F4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3C36B2">
              <w:rPr>
                <w:rFonts w:eastAsia="Times New Roman"/>
                <w:color w:val="000000"/>
                <w:sz w:val="12"/>
                <w:szCs w:val="12"/>
              </w:rPr>
              <w:t>Jan 2026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4A700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3C36B2">
              <w:rPr>
                <w:rFonts w:eastAsia="Times New Roman"/>
                <w:color w:val="000000"/>
                <w:sz w:val="12"/>
                <w:szCs w:val="12"/>
              </w:rPr>
              <w:t>Change from Jan 2025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773FB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3C36B2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93ADF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3C36B2">
              <w:rPr>
                <w:rFonts w:eastAsia="Times New Roman"/>
                <w:color w:val="000000"/>
                <w:sz w:val="12"/>
                <w:szCs w:val="12"/>
              </w:rPr>
              <w:t>Jan 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48348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3C36B2">
              <w:rPr>
                <w:rFonts w:eastAsia="Times New Roman"/>
                <w:color w:val="000000"/>
                <w:sz w:val="12"/>
                <w:szCs w:val="12"/>
              </w:rPr>
              <w:t>Change from Jan 2025</w:t>
            </w:r>
          </w:p>
        </w:tc>
      </w:tr>
      <w:tr w:rsidR="003C36B2" w:rsidRPr="003C36B2" w14:paraId="2232A4B4" w14:textId="77777777" w:rsidTr="003C36B2">
        <w:trPr>
          <w:trHeight w:val="323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CF947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Unemployment Rate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3E60B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D1840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</w:rPr>
            </w:pPr>
            <w:r w:rsidRPr="003C36B2">
              <w:rPr>
                <w:rFonts w:eastAsia="Times New Roman"/>
                <w:sz w:val="20"/>
                <w:szCs w:val="20"/>
              </w:rPr>
              <w:t>0.0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82A70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0E6B4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3CF7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EE0000"/>
                <w:sz w:val="20"/>
                <w:szCs w:val="20"/>
              </w:rPr>
              <w:t>0.3</w:t>
            </w:r>
          </w:p>
        </w:tc>
      </w:tr>
      <w:tr w:rsidR="003C36B2" w:rsidRPr="003C36B2" w14:paraId="69BD8C95" w14:textId="77777777" w:rsidTr="003C36B2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5401F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Labor Force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9979C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19,622,900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A3E45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EE0000"/>
                <w:sz w:val="20"/>
                <w:szCs w:val="20"/>
              </w:rPr>
              <w:t>-0.4%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3CDFB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20C1F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169,612,000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7D75B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EE0000"/>
                <w:sz w:val="20"/>
                <w:szCs w:val="20"/>
              </w:rPr>
              <w:t>-0.1%</w:t>
            </w:r>
          </w:p>
        </w:tc>
      </w:tr>
      <w:tr w:rsidR="003C36B2" w:rsidRPr="003C36B2" w14:paraId="0B1E9E0A" w14:textId="77777777" w:rsidTr="003C36B2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717C2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Participation Rate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728F9" w14:textId="43F02F2B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B947A" w14:textId="5C0BEB85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n/a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BD2C1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1060F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61.7%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26663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EE0000"/>
                <w:sz w:val="20"/>
                <w:szCs w:val="20"/>
              </w:rPr>
              <w:t>-0.6</w:t>
            </w:r>
          </w:p>
        </w:tc>
      </w:tr>
      <w:tr w:rsidR="003C36B2" w:rsidRPr="003C36B2" w14:paraId="5311E9E8" w14:textId="77777777" w:rsidTr="003C36B2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19058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B47FA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18,537,900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50AA7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EE0000"/>
                <w:sz w:val="20"/>
                <w:szCs w:val="20"/>
              </w:rPr>
              <w:t>-0.4%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6716D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A2463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161,670,000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2AFE0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EE0000"/>
                <w:sz w:val="20"/>
                <w:szCs w:val="20"/>
              </w:rPr>
              <w:t>-0.4%</w:t>
            </w:r>
          </w:p>
        </w:tc>
      </w:tr>
      <w:tr w:rsidR="003C36B2" w:rsidRPr="003C36B2" w14:paraId="3A06A17F" w14:textId="77777777" w:rsidTr="003C36B2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758B2" w14:textId="77777777" w:rsidR="003C36B2" w:rsidRPr="003C36B2" w:rsidRDefault="003C36B2" w:rsidP="003C36B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Unemployment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2A8B0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1,085,000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E43E0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</w:rPr>
            </w:pPr>
            <w:r w:rsidRPr="003C36B2">
              <w:rPr>
                <w:rFonts w:eastAsia="Times New Roman"/>
                <w:sz w:val="20"/>
                <w:szCs w:val="20"/>
              </w:rPr>
              <w:t>-0.7%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EBD58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2B20E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3C36B2">
              <w:rPr>
                <w:rFonts w:eastAsia="Times New Roman"/>
                <w:color w:val="000000"/>
                <w:sz w:val="20"/>
                <w:szCs w:val="20"/>
              </w:rPr>
              <w:t>7,942,000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5C22B" w14:textId="77777777" w:rsidR="003C36B2" w:rsidRPr="003C36B2" w:rsidRDefault="003C36B2" w:rsidP="003C36B2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</w:rPr>
            </w:pPr>
            <w:r w:rsidRPr="003C36B2">
              <w:rPr>
                <w:rFonts w:eastAsia="Times New Roman"/>
                <w:sz w:val="20"/>
                <w:szCs w:val="20"/>
              </w:rPr>
              <w:t>6.4%</w:t>
            </w:r>
          </w:p>
        </w:tc>
      </w:tr>
    </w:tbl>
    <w:p w14:paraId="5426D4DC" w14:textId="77777777" w:rsidR="00CF42EE" w:rsidRPr="009210A7" w:rsidRDefault="00CF42EE" w:rsidP="00CF42EE">
      <w:pPr>
        <w:spacing w:before="161"/>
        <w:ind w:left="100"/>
        <w:rPr>
          <w:b/>
          <w:sz w:val="20"/>
          <w:szCs w:val="2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204"/>
      </w:tblGrid>
      <w:tr w:rsidR="005D50FA" w14:paraId="3BED5476" w14:textId="77777777" w:rsidTr="00F02E8D">
        <w:trPr>
          <w:trHeight w:val="1295"/>
        </w:trPr>
        <w:tc>
          <w:tcPr>
            <w:tcW w:w="2160" w:type="dxa"/>
          </w:tcPr>
          <w:p w14:paraId="2DF852CC" w14:textId="5FE5EDD2" w:rsidR="005D50FA" w:rsidRPr="00720D67" w:rsidRDefault="005D50FA" w:rsidP="005D50FA">
            <w:pPr>
              <w:pStyle w:val="TableParagraph"/>
              <w:spacing w:line="763" w:lineRule="exact"/>
              <w:ind w:left="48" w:right="523"/>
              <w:jc w:val="center"/>
              <w:rPr>
                <w:b/>
                <w:color w:val="4F81BD" w:themeColor="accent1"/>
                <w:sz w:val="66"/>
              </w:rPr>
            </w:pPr>
            <w:r w:rsidRPr="00720D67">
              <w:rPr>
                <w:b/>
                <w:color w:val="4F81BD" w:themeColor="accent1"/>
                <w:spacing w:val="-4"/>
                <w:sz w:val="66"/>
              </w:rPr>
              <w:t>5.</w:t>
            </w:r>
            <w:r w:rsidR="00146A42">
              <w:rPr>
                <w:b/>
                <w:color w:val="4F81BD" w:themeColor="accent1"/>
                <w:spacing w:val="-4"/>
                <w:sz w:val="66"/>
              </w:rPr>
              <w:t>4</w:t>
            </w:r>
            <w:r w:rsidRPr="00720D67">
              <w:rPr>
                <w:b/>
                <w:color w:val="4F81BD" w:themeColor="accent1"/>
                <w:spacing w:val="-4"/>
                <w:sz w:val="66"/>
              </w:rPr>
              <w:t>%</w:t>
            </w:r>
          </w:p>
          <w:p w14:paraId="2FCA178A" w14:textId="2A8D3A5F" w:rsidR="005D50FA" w:rsidRDefault="005D50FA" w:rsidP="005D50FA">
            <w:pPr>
              <w:pStyle w:val="TableParagraph"/>
              <w:spacing w:before="2"/>
              <w:ind w:left="0" w:right="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 Unemployment Rate</w:t>
            </w:r>
          </w:p>
        </w:tc>
        <w:tc>
          <w:tcPr>
            <w:tcW w:w="6204" w:type="dxa"/>
          </w:tcPr>
          <w:p w14:paraId="07051553" w14:textId="09D32A12" w:rsidR="005D50FA" w:rsidRPr="004B16EB" w:rsidRDefault="005D50FA" w:rsidP="005D50FA">
            <w:pPr>
              <w:pStyle w:val="TableParagraph"/>
              <w:spacing w:line="225" w:lineRule="exact"/>
              <w:ind w:left="720"/>
            </w:pPr>
            <w:r w:rsidRPr="007A139A">
              <w:t xml:space="preserve">California's reported unemployment rate (seasonally adjusted) </w:t>
            </w:r>
            <w:r w:rsidR="00720D67">
              <w:t>improved by</w:t>
            </w:r>
            <w:r w:rsidR="00F272AB">
              <w:t xml:space="preserve"> 0.1 point</w:t>
            </w:r>
            <w:r w:rsidR="00720D67">
              <w:t xml:space="preserve"> from </w:t>
            </w:r>
            <w:r w:rsidR="00146A42">
              <w:t>Decem</w:t>
            </w:r>
            <w:r w:rsidR="00720D67">
              <w:t xml:space="preserve">ber </w:t>
            </w:r>
            <w:r w:rsidR="00F272AB">
              <w:t>to 5.</w:t>
            </w:r>
            <w:r w:rsidR="00146A42">
              <w:t>4</w:t>
            </w:r>
            <w:r>
              <w:t xml:space="preserve">%.  The US rate </w:t>
            </w:r>
            <w:r w:rsidR="00720D67">
              <w:t>also improved by 0.1 point to</w:t>
            </w:r>
            <w:r w:rsidR="0089651B">
              <w:t xml:space="preserve"> 4.</w:t>
            </w:r>
            <w:r w:rsidR="00146A42">
              <w:t>3</w:t>
            </w:r>
            <w:r w:rsidR="0089651B">
              <w:t>%</w:t>
            </w:r>
            <w:r w:rsidR="007024FE">
              <w:t>.</w:t>
            </w:r>
          </w:p>
          <w:p w14:paraId="690FB737" w14:textId="77777777" w:rsidR="005D50FA" w:rsidRPr="007A139A" w:rsidRDefault="005D50FA" w:rsidP="005D50FA">
            <w:pPr>
              <w:pStyle w:val="TableParagraph"/>
              <w:spacing w:line="225" w:lineRule="exact"/>
              <w:ind w:left="720"/>
            </w:pPr>
          </w:p>
          <w:p w14:paraId="1AF49D50" w14:textId="77777777" w:rsidR="005D50FA" w:rsidRDefault="005D50FA" w:rsidP="005D50FA">
            <w:pPr>
              <w:pStyle w:val="TableParagraph"/>
              <w:spacing w:line="270" w:lineRule="atLeast"/>
              <w:ind w:left="720"/>
            </w:pPr>
          </w:p>
          <w:p w14:paraId="1EBC614C" w14:textId="77777777" w:rsidR="005D50FA" w:rsidRDefault="005D50FA" w:rsidP="005D50FA">
            <w:pPr>
              <w:pStyle w:val="TableParagraph"/>
              <w:spacing w:line="270" w:lineRule="atLeast"/>
              <w:ind w:left="720"/>
            </w:pPr>
          </w:p>
        </w:tc>
      </w:tr>
    </w:tbl>
    <w:p w14:paraId="5220A10B" w14:textId="0B754D86" w:rsidR="00CF42EE" w:rsidRDefault="00CF42EE" w:rsidP="0022006B">
      <w:pPr>
        <w:pStyle w:val="BodyTex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</w:t>
      </w:r>
    </w:p>
    <w:p w14:paraId="48CF0394" w14:textId="77777777" w:rsidR="00CF42EE" w:rsidRPr="007004AA" w:rsidRDefault="00CF42EE" w:rsidP="00CF42EE">
      <w:pPr>
        <w:pStyle w:val="BodyText"/>
        <w:jc w:val="center"/>
        <w:rPr>
          <w:bCs/>
          <w:i/>
          <w:iCs/>
          <w:sz w:val="20"/>
          <w:szCs w:val="2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204"/>
      </w:tblGrid>
      <w:tr w:rsidR="005D50FA" w14:paraId="3E9B20D1" w14:textId="77777777" w:rsidTr="00F02E8D">
        <w:trPr>
          <w:trHeight w:val="1295"/>
        </w:trPr>
        <w:tc>
          <w:tcPr>
            <w:tcW w:w="2160" w:type="dxa"/>
          </w:tcPr>
          <w:p w14:paraId="31377F0B" w14:textId="4313FCA4" w:rsidR="005D50FA" w:rsidRPr="003C36B2" w:rsidRDefault="003C36B2" w:rsidP="005D50FA">
            <w:pPr>
              <w:pStyle w:val="TableParagraph"/>
              <w:spacing w:line="763" w:lineRule="exact"/>
              <w:ind w:left="48" w:right="356"/>
              <w:rPr>
                <w:b/>
                <w:color w:val="EE0000"/>
                <w:sz w:val="66"/>
              </w:rPr>
            </w:pPr>
            <w:r w:rsidRPr="003C36B2">
              <w:rPr>
                <w:b/>
                <w:color w:val="EE0000"/>
                <w:spacing w:val="-4"/>
                <w:sz w:val="66"/>
              </w:rPr>
              <w:t>-5.1</w:t>
            </w:r>
            <w:r w:rsidR="005D50FA" w:rsidRPr="003C36B2">
              <w:rPr>
                <w:b/>
                <w:color w:val="EE0000"/>
                <w:spacing w:val="-4"/>
                <w:sz w:val="66"/>
              </w:rPr>
              <w:t>k</w:t>
            </w:r>
          </w:p>
          <w:p w14:paraId="676E490E" w14:textId="3911A4EF" w:rsidR="005D50FA" w:rsidRDefault="005D50FA" w:rsidP="005D50FA">
            <w:pPr>
              <w:pStyle w:val="TableParagraph"/>
              <w:spacing w:before="2"/>
              <w:ind w:left="0" w:right="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 Employment</w:t>
            </w:r>
          </w:p>
        </w:tc>
        <w:tc>
          <w:tcPr>
            <w:tcW w:w="6204" w:type="dxa"/>
          </w:tcPr>
          <w:p w14:paraId="6542F9D5" w14:textId="3DA4592B" w:rsidR="005D50FA" w:rsidRDefault="005D50FA" w:rsidP="005D50FA">
            <w:pPr>
              <w:pStyle w:val="TableParagraph"/>
              <w:spacing w:line="225" w:lineRule="exact"/>
              <w:ind w:left="720"/>
            </w:pPr>
            <w:r>
              <w:t xml:space="preserve">Employment </w:t>
            </w:r>
            <w:r w:rsidR="003C36B2">
              <w:t>was down marginally by 5,100</w:t>
            </w:r>
            <w:r>
              <w:t xml:space="preserve"> (seasonally adjusted) in </w:t>
            </w:r>
            <w:r w:rsidR="003C36B2">
              <w:t>January</w:t>
            </w:r>
            <w:r>
              <w:t xml:space="preserve">, while US employment </w:t>
            </w:r>
            <w:r w:rsidR="003C36B2">
              <w:t>fell by 895</w:t>
            </w:r>
            <w:r w:rsidR="00F86B80">
              <w:t>,000</w:t>
            </w:r>
            <w:r>
              <w:t xml:space="preserve">.  </w:t>
            </w:r>
          </w:p>
          <w:p w14:paraId="55775F88" w14:textId="77777777" w:rsidR="005D50FA" w:rsidRDefault="005D50FA" w:rsidP="005D50FA">
            <w:pPr>
              <w:pStyle w:val="TableParagraph"/>
              <w:spacing w:line="225" w:lineRule="exact"/>
              <w:ind w:left="720"/>
            </w:pPr>
          </w:p>
          <w:p w14:paraId="4773C00A" w14:textId="1481E95D" w:rsidR="005D50FA" w:rsidRDefault="005D50FA" w:rsidP="005D50FA">
            <w:pPr>
              <w:pStyle w:val="TableParagraph"/>
              <w:spacing w:line="225" w:lineRule="exact"/>
              <w:ind w:left="720"/>
            </w:pPr>
            <w:r>
              <w:t xml:space="preserve">California unemployment </w:t>
            </w:r>
            <w:r w:rsidR="00720D67">
              <w:t xml:space="preserve">edged down by </w:t>
            </w:r>
            <w:r w:rsidR="003C36B2">
              <w:t>10,9</w:t>
            </w:r>
            <w:r w:rsidR="00720D67">
              <w:t>00</w:t>
            </w:r>
            <w:r>
              <w:t xml:space="preserve">, while US unemployment </w:t>
            </w:r>
            <w:r w:rsidR="00720D67">
              <w:t xml:space="preserve">dropped by </w:t>
            </w:r>
            <w:r w:rsidR="003C36B2">
              <w:t>135</w:t>
            </w:r>
            <w:r w:rsidR="00F86B80">
              <w:t>,000</w:t>
            </w:r>
            <w:r w:rsidRPr="007A139A">
              <w:t xml:space="preserve">. </w:t>
            </w:r>
            <w:r>
              <w:t xml:space="preserve"> </w:t>
            </w:r>
            <w:r w:rsidRPr="00FE2461">
              <w:rPr>
                <w:b/>
                <w:bCs/>
              </w:rPr>
              <w:t>California unemployment has been above 1 million</w:t>
            </w:r>
            <w:r>
              <w:rPr>
                <w:b/>
                <w:bCs/>
              </w:rPr>
              <w:t xml:space="preserve"> every month since January 2024</w:t>
            </w:r>
            <w:r w:rsidRPr="00FE2461">
              <w:rPr>
                <w:b/>
                <w:bCs/>
              </w:rPr>
              <w:t>, the highest levels since the pandemic period in 2021.</w:t>
            </w:r>
          </w:p>
        </w:tc>
      </w:tr>
    </w:tbl>
    <w:p w14:paraId="13796434" w14:textId="77777777" w:rsidR="00CF42EE" w:rsidRDefault="00CF42EE" w:rsidP="00CF42EE">
      <w:pPr>
        <w:rPr>
          <w:b/>
          <w:sz w:val="28"/>
        </w:rPr>
      </w:pPr>
    </w:p>
    <w:p w14:paraId="43E24BD4" w14:textId="2BDBE23F" w:rsidR="00CF42EE" w:rsidRDefault="00CF42EE" w:rsidP="00DD2EB3">
      <w:pPr>
        <w:pStyle w:val="BodyText"/>
        <w:spacing w:before="193" w:line="259" w:lineRule="auto"/>
        <w:ind w:right="403"/>
        <w:rPr>
          <w:b/>
          <w:bCs/>
          <w:sz w:val="28"/>
          <w:szCs w:val="28"/>
        </w:rPr>
      </w:pPr>
      <w:r>
        <w:rPr>
          <w:b/>
          <w:sz w:val="28"/>
        </w:rPr>
        <w:t xml:space="preserve"> </w:t>
      </w:r>
    </w:p>
    <w:p w14:paraId="5B83D84F" w14:textId="26C4E6BC" w:rsidR="00CF42EE" w:rsidRPr="003C1188" w:rsidRDefault="00CF42EE" w:rsidP="00CF42EE">
      <w:pPr>
        <w:rPr>
          <w:b/>
          <w:bCs/>
          <w:sz w:val="28"/>
          <w:szCs w:val="28"/>
        </w:rPr>
      </w:pPr>
      <w:r w:rsidRPr="003C1188">
        <w:rPr>
          <w:b/>
          <w:bCs/>
          <w:sz w:val="28"/>
          <w:szCs w:val="28"/>
        </w:rPr>
        <w:t>Nonfarm Jobs</w:t>
      </w:r>
    </w:p>
    <w:tbl>
      <w:tblPr>
        <w:tblpPr w:leftFromText="180" w:rightFromText="180" w:vertAnchor="text" w:horzAnchor="page" w:tblpX="2367" w:tblpY="48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6116"/>
      </w:tblGrid>
      <w:tr w:rsidR="005D50FA" w14:paraId="49A4DD49" w14:textId="77777777" w:rsidTr="00F02E8D">
        <w:trPr>
          <w:trHeight w:val="1834"/>
        </w:trPr>
        <w:tc>
          <w:tcPr>
            <w:tcW w:w="2239" w:type="dxa"/>
          </w:tcPr>
          <w:p w14:paraId="01086626" w14:textId="38A1621C" w:rsidR="005D50FA" w:rsidRPr="00CD6B78" w:rsidRDefault="00CD6B78" w:rsidP="005D50FA">
            <w:pPr>
              <w:pStyle w:val="TableParagraph"/>
              <w:spacing w:line="763" w:lineRule="exact"/>
              <w:ind w:left="42" w:right="516"/>
              <w:jc w:val="center"/>
              <w:rPr>
                <w:b/>
                <w:color w:val="4F81BD" w:themeColor="accent1"/>
                <w:sz w:val="66"/>
              </w:rPr>
            </w:pPr>
            <w:r w:rsidRPr="00CD6B78">
              <w:rPr>
                <w:b/>
                <w:color w:val="4F81BD" w:themeColor="accent1"/>
                <w:spacing w:val="-2"/>
                <w:sz w:val="66"/>
              </w:rPr>
              <w:t>93.5</w:t>
            </w:r>
            <w:r w:rsidR="005D50FA" w:rsidRPr="00CD6B78">
              <w:rPr>
                <w:b/>
                <w:color w:val="4F81BD" w:themeColor="accent1"/>
                <w:spacing w:val="-2"/>
                <w:sz w:val="66"/>
              </w:rPr>
              <w:t>k</w:t>
            </w:r>
          </w:p>
          <w:p w14:paraId="7832D0E9" w14:textId="3A43784D" w:rsidR="005D50FA" w:rsidRDefault="005D50FA" w:rsidP="005D50FA">
            <w:pPr>
              <w:pStyle w:val="TableParagraph"/>
              <w:spacing w:before="2"/>
              <w:ind w:left="50" w:right="52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Nonfarm Jobs Change </w:t>
            </w:r>
          </w:p>
        </w:tc>
        <w:tc>
          <w:tcPr>
            <w:tcW w:w="6116" w:type="dxa"/>
          </w:tcPr>
          <w:p w14:paraId="496AFA2A" w14:textId="1F589FDA" w:rsidR="005D50FA" w:rsidRDefault="005D50FA" w:rsidP="005D50FA">
            <w:pPr>
              <w:pStyle w:val="TableParagraph"/>
              <w:spacing w:line="225" w:lineRule="exact"/>
              <w:ind w:left="527"/>
            </w:pPr>
            <w:r w:rsidRPr="00F96CDD">
              <w:t>Nonfarm wage and salary jobs</w:t>
            </w:r>
            <w:r w:rsidRPr="00E21181">
              <w:t xml:space="preserve"> </w:t>
            </w:r>
            <w:r w:rsidR="00CD6B78">
              <w:t xml:space="preserve">(seasonally adjusted) </w:t>
            </w:r>
            <w:r w:rsidR="0089651B">
              <w:t xml:space="preserve">in the preliminary estimate </w:t>
            </w:r>
            <w:r w:rsidR="00CD6B78">
              <w:t>rose 93,500</w:t>
            </w:r>
            <w:r w:rsidR="0089651B">
              <w:t xml:space="preserve">, resulting in </w:t>
            </w:r>
            <w:r w:rsidR="00D12083">
              <w:t xml:space="preserve">a total </w:t>
            </w:r>
            <w:r w:rsidR="00CD6B78">
              <w:t>gain</w:t>
            </w:r>
            <w:r w:rsidR="00D12083">
              <w:t xml:space="preserve"> of </w:t>
            </w:r>
            <w:r w:rsidR="00CD6B78">
              <w:t>131,1</w:t>
            </w:r>
            <w:r w:rsidR="00D12083">
              <w:t>00 jobs for the year</w:t>
            </w:r>
            <w:r w:rsidR="0089651B">
              <w:t>.</w:t>
            </w:r>
            <w:r>
              <w:t xml:space="preserve"> </w:t>
            </w:r>
          </w:p>
          <w:p w14:paraId="280BFA8C" w14:textId="77777777" w:rsidR="005D50FA" w:rsidRPr="00DE679F" w:rsidRDefault="005D50FA" w:rsidP="005D50FA">
            <w:pPr>
              <w:pStyle w:val="TableParagraph"/>
              <w:spacing w:line="225" w:lineRule="exact"/>
              <w:ind w:left="527"/>
            </w:pPr>
          </w:p>
          <w:p w14:paraId="6E9785CD" w14:textId="59629288" w:rsidR="005D50FA" w:rsidRDefault="005D50FA" w:rsidP="005D50FA">
            <w:pPr>
              <w:pStyle w:val="TableParagraph"/>
              <w:spacing w:line="225" w:lineRule="exact"/>
              <w:ind w:left="527"/>
            </w:pPr>
            <w:r>
              <w:t xml:space="preserve">For the </w:t>
            </w:r>
            <w:proofErr w:type="gramStart"/>
            <w:r>
              <w:t>US as a whole, nonfarm</w:t>
            </w:r>
            <w:proofErr w:type="gramEnd"/>
            <w:r>
              <w:t xml:space="preserve"> jobs rose </w:t>
            </w:r>
            <w:r w:rsidR="00CD6B78">
              <w:t>16</w:t>
            </w:r>
            <w:r w:rsidR="00D12083">
              <w:t>0</w:t>
            </w:r>
            <w:r w:rsidR="0089651B">
              <w:t xml:space="preserve">,000 in </w:t>
            </w:r>
            <w:r w:rsidR="00CD6B78">
              <w:t>January</w:t>
            </w:r>
            <w:r w:rsidR="0089651B">
              <w:t xml:space="preserve"> and </w:t>
            </w:r>
            <w:r w:rsidR="00CD6B78">
              <w:t>324,000 over the year</w:t>
            </w:r>
            <w:r>
              <w:t>.</w:t>
            </w:r>
            <w:r w:rsidR="00CD6B78">
              <w:t xml:space="preserve">  The most recent data shows a preliminary gain of </w:t>
            </w:r>
            <w:r w:rsidR="00146A42">
              <w:t>178,000 in March after a 133,000 loss in February</w:t>
            </w:r>
            <w:r w:rsidR="003C36B2">
              <w:t>, largely reflecting the effects of healthcare strikes in February</w:t>
            </w:r>
            <w:r w:rsidR="00146A42">
              <w:t xml:space="preserve">.  </w:t>
            </w:r>
          </w:p>
          <w:p w14:paraId="45F50B79" w14:textId="77777777" w:rsidR="005D50FA" w:rsidRDefault="005D50FA" w:rsidP="005D50FA">
            <w:pPr>
              <w:pStyle w:val="TableParagraph"/>
              <w:spacing w:line="225" w:lineRule="exact"/>
              <w:ind w:left="527"/>
            </w:pPr>
          </w:p>
          <w:p w14:paraId="64C6007D" w14:textId="77777777" w:rsidR="005D50FA" w:rsidRDefault="005D50FA" w:rsidP="005D50FA">
            <w:pPr>
              <w:pStyle w:val="TableParagraph"/>
              <w:spacing w:line="225" w:lineRule="exact"/>
              <w:ind w:left="527"/>
            </w:pPr>
          </w:p>
          <w:p w14:paraId="3ED6987E" w14:textId="77777777" w:rsidR="005D50FA" w:rsidRDefault="005D50FA" w:rsidP="005D50FA">
            <w:pPr>
              <w:pStyle w:val="TableParagraph"/>
              <w:spacing w:line="225" w:lineRule="exact"/>
              <w:ind w:left="527"/>
            </w:pPr>
          </w:p>
        </w:tc>
      </w:tr>
    </w:tbl>
    <w:p w14:paraId="54CA063F" w14:textId="77777777" w:rsidR="00CF42EE" w:rsidRDefault="00CF42EE" w:rsidP="00CF42EE"/>
    <w:p w14:paraId="673D5A07" w14:textId="77777777" w:rsidR="00CF42EE" w:rsidRDefault="00CF42EE" w:rsidP="00CF42EE">
      <w:pPr>
        <w:rPr>
          <w:b/>
          <w:bCs/>
          <w:sz w:val="28"/>
          <w:szCs w:val="28"/>
        </w:rPr>
      </w:pPr>
    </w:p>
    <w:p w14:paraId="05C355E6" w14:textId="77777777" w:rsidR="00CF42EE" w:rsidRDefault="00CF42EE" w:rsidP="00CF42EE">
      <w:pPr>
        <w:rPr>
          <w:b/>
          <w:bCs/>
          <w:sz w:val="28"/>
          <w:szCs w:val="28"/>
        </w:rPr>
      </w:pPr>
    </w:p>
    <w:p w14:paraId="0F37D4D8" w14:textId="34F02A62" w:rsidR="00514F88" w:rsidRDefault="00514F88" w:rsidP="00CF42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07081561" w14:textId="77777777" w:rsidR="00CF42EE" w:rsidRDefault="00CF42EE" w:rsidP="00CF42EE">
      <w:pPr>
        <w:jc w:val="center"/>
        <w:rPr>
          <w:b/>
          <w:bCs/>
          <w:sz w:val="28"/>
          <w:szCs w:val="28"/>
        </w:rPr>
      </w:pPr>
    </w:p>
    <w:p w14:paraId="4A18F8B1" w14:textId="77777777" w:rsidR="00CF42EE" w:rsidRPr="0023248A" w:rsidRDefault="00CF42EE" w:rsidP="00CF42EE">
      <w:pPr>
        <w:rPr>
          <w:rFonts w:cstheme="minorHAnsi"/>
          <w:i/>
          <w:sz w:val="16"/>
          <w:szCs w:val="16"/>
        </w:rPr>
      </w:pPr>
    </w:p>
    <w:p w14:paraId="3B096B1A" w14:textId="77777777" w:rsidR="00CF42EE" w:rsidRDefault="00CF42EE" w:rsidP="00CF42EE">
      <w:pPr>
        <w:rPr>
          <w:b/>
          <w:sz w:val="20"/>
          <w:szCs w:val="20"/>
        </w:rPr>
      </w:pPr>
      <w:r>
        <w:rPr>
          <w:b/>
          <w:sz w:val="28"/>
        </w:rPr>
        <w:t xml:space="preserve">Counties with Double-Digit Unemployment </w:t>
      </w:r>
    </w:p>
    <w:p w14:paraId="735EA540" w14:textId="77777777" w:rsidR="00CF42EE" w:rsidRPr="009210A7" w:rsidRDefault="00CF42EE" w:rsidP="00CF42EE">
      <w:pPr>
        <w:spacing w:before="240"/>
        <w:ind w:left="100"/>
        <w:rPr>
          <w:b/>
          <w:sz w:val="20"/>
          <w:szCs w:val="20"/>
        </w:rPr>
      </w:pPr>
    </w:p>
    <w:tbl>
      <w:tblPr>
        <w:tblW w:w="0" w:type="auto"/>
        <w:tblInd w:w="10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6097"/>
      </w:tblGrid>
      <w:tr w:rsidR="005D50FA" w14:paraId="75C3731B" w14:textId="77777777" w:rsidTr="00F02E8D">
        <w:trPr>
          <w:trHeight w:val="1401"/>
        </w:trPr>
        <w:tc>
          <w:tcPr>
            <w:tcW w:w="2239" w:type="dxa"/>
          </w:tcPr>
          <w:p w14:paraId="63C3BC50" w14:textId="6D46AC86" w:rsidR="005D50FA" w:rsidRPr="00CD6B78" w:rsidRDefault="00CD6B78" w:rsidP="005D50FA">
            <w:pPr>
              <w:pStyle w:val="TableParagraph"/>
              <w:spacing w:line="672" w:lineRule="exact"/>
              <w:ind w:left="50"/>
              <w:jc w:val="center"/>
              <w:rPr>
                <w:b/>
                <w:color w:val="EE0000"/>
                <w:sz w:val="66"/>
              </w:rPr>
            </w:pPr>
            <w:r w:rsidRPr="00CD6B78">
              <w:rPr>
                <w:b/>
                <w:color w:val="EE0000"/>
                <w:spacing w:val="-2"/>
                <w:sz w:val="66"/>
              </w:rPr>
              <w:t>8</w:t>
            </w:r>
          </w:p>
          <w:p w14:paraId="671C315C" w14:textId="77777777" w:rsidR="005D50FA" w:rsidRDefault="005D50FA" w:rsidP="005D50FA">
            <w:pPr>
              <w:pStyle w:val="TableParagraph"/>
              <w:spacing w:before="2"/>
              <w:ind w:left="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Counties with Unemployment Above 10%</w:t>
            </w:r>
          </w:p>
          <w:p w14:paraId="17965DC2" w14:textId="77777777" w:rsidR="005D50FA" w:rsidRDefault="005D50FA" w:rsidP="005D50FA">
            <w:pPr>
              <w:pStyle w:val="TableParagraph"/>
              <w:spacing w:line="219" w:lineRule="exact"/>
              <w:ind w:left="71"/>
              <w:rPr>
                <w:b/>
                <w:sz w:val="20"/>
              </w:rPr>
            </w:pPr>
          </w:p>
        </w:tc>
        <w:tc>
          <w:tcPr>
            <w:tcW w:w="6097" w:type="dxa"/>
          </w:tcPr>
          <w:p w14:paraId="3F9E90A1" w14:textId="6E51D56F" w:rsidR="005D50FA" w:rsidRDefault="005D50FA" w:rsidP="005D50FA">
            <w:pPr>
              <w:pStyle w:val="TableParagraph"/>
              <w:spacing w:before="98"/>
              <w:ind w:left="527"/>
            </w:pPr>
            <w:r w:rsidRPr="00E47ACD">
              <w:t xml:space="preserve">The number of counties with an unemployment rate </w:t>
            </w:r>
            <w:r>
              <w:t>(not seasonally adjusted</w:t>
            </w:r>
            <w:proofErr w:type="gramStart"/>
            <w:r>
              <w:t xml:space="preserve">) </w:t>
            </w:r>
            <w:r w:rsidRPr="00E47ACD">
              <w:t>at 10%</w:t>
            </w:r>
            <w:proofErr w:type="gramEnd"/>
            <w:r w:rsidRPr="00E47ACD">
              <w:t xml:space="preserve"> </w:t>
            </w:r>
            <w:r w:rsidR="00CD6B78">
              <w:t>increased to 8</w:t>
            </w:r>
            <w:r w:rsidRPr="00E47ACD">
              <w:t xml:space="preserve">. The unadjusted rates ranged from </w:t>
            </w:r>
            <w:r w:rsidR="00D12083">
              <w:t>3.</w:t>
            </w:r>
            <w:r w:rsidR="00CD6B78">
              <w:t>8</w:t>
            </w:r>
            <w:r w:rsidRPr="00E47ACD">
              <w:t xml:space="preserve">% in </w:t>
            </w:r>
            <w:r w:rsidR="00D12083">
              <w:t>San Mateo</w:t>
            </w:r>
            <w:r>
              <w:t xml:space="preserve"> </w:t>
            </w:r>
            <w:r w:rsidRPr="00E47ACD">
              <w:t xml:space="preserve">to </w:t>
            </w:r>
            <w:r w:rsidR="00D12083">
              <w:t>18.6</w:t>
            </w:r>
            <w:r w:rsidRPr="00E47ACD">
              <w:t xml:space="preserve">% in </w:t>
            </w:r>
            <w:r>
              <w:t>Imperial</w:t>
            </w:r>
            <w:r w:rsidRPr="00E47ACD">
              <w:t>.</w:t>
            </w:r>
          </w:p>
          <w:p w14:paraId="10DA8E56" w14:textId="77777777" w:rsidR="00D21DC7" w:rsidRDefault="00D21DC7" w:rsidP="005D50FA">
            <w:pPr>
              <w:pStyle w:val="TableParagraph"/>
              <w:spacing w:before="98"/>
              <w:ind w:left="527"/>
            </w:pPr>
          </w:p>
          <w:p w14:paraId="47F96296" w14:textId="604417E3" w:rsidR="00D21DC7" w:rsidRPr="00E47ACD" w:rsidRDefault="00D21DC7" w:rsidP="005D50FA">
            <w:pPr>
              <w:pStyle w:val="TableParagraph"/>
              <w:spacing w:before="98"/>
              <w:ind w:left="527"/>
            </w:pPr>
            <w:r>
              <w:t>In the chart, counties with rates higher than the state average are coded in red.</w:t>
            </w:r>
          </w:p>
          <w:p w14:paraId="1742B917" w14:textId="77777777" w:rsidR="005D50FA" w:rsidRDefault="005D50FA" w:rsidP="005D50FA">
            <w:pPr>
              <w:pStyle w:val="TableParagraph"/>
              <w:spacing w:before="98"/>
              <w:ind w:left="527"/>
            </w:pPr>
          </w:p>
        </w:tc>
      </w:tr>
    </w:tbl>
    <w:p w14:paraId="0A926A31" w14:textId="2A106904" w:rsidR="00F537E1" w:rsidRPr="00F537E1" w:rsidRDefault="00F537E1" w:rsidP="00F537E1">
      <w:pPr>
        <w:pStyle w:val="BodyText"/>
        <w:jc w:val="center"/>
        <w:rPr>
          <w:bCs/>
          <w:sz w:val="20"/>
        </w:rPr>
      </w:pPr>
    </w:p>
    <w:p w14:paraId="395E8588" w14:textId="77777777" w:rsidR="00CF42EE" w:rsidRDefault="00CF42EE" w:rsidP="00CF42EE">
      <w:pPr>
        <w:pStyle w:val="BodyText"/>
        <w:rPr>
          <w:b/>
          <w:sz w:val="20"/>
        </w:rPr>
      </w:pPr>
    </w:p>
    <w:p w14:paraId="719C8EB3" w14:textId="2D39324A" w:rsidR="006C168D" w:rsidRPr="00535BD0" w:rsidRDefault="00CD6B78" w:rsidP="006C168D">
      <w:pPr>
        <w:pStyle w:val="BodyText"/>
        <w:jc w:val="center"/>
        <w:rPr>
          <w:bCs/>
          <w:sz w:val="20"/>
        </w:rPr>
      </w:pPr>
      <w:r>
        <w:rPr>
          <w:bCs/>
          <w:noProof/>
          <w:sz w:val="20"/>
        </w:rPr>
        <w:lastRenderedPageBreak/>
        <w:drawing>
          <wp:inline distT="0" distB="0" distL="0" distR="0" wp14:anchorId="61843203" wp14:editId="06C6CC3F">
            <wp:extent cx="4443161" cy="3072490"/>
            <wp:effectExtent l="0" t="0" r="0" b="0"/>
            <wp:docPr id="6675464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62" cy="3083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168D" w:rsidRPr="00535BD0">
      <w:headerReference w:type="default" r:id="rId15"/>
      <w:footerReference w:type="default" r:id="rId16"/>
      <w:pgSz w:w="12240" w:h="15840"/>
      <w:pgMar w:top="1480" w:right="1060" w:bottom="1200" w:left="1340" w:header="48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EB55" w14:textId="77777777" w:rsidR="00AE77B7" w:rsidRDefault="00AE77B7">
      <w:r>
        <w:separator/>
      </w:r>
    </w:p>
  </w:endnote>
  <w:endnote w:type="continuationSeparator" w:id="0">
    <w:p w14:paraId="3BE835DE" w14:textId="77777777" w:rsidR="00AE77B7" w:rsidRDefault="00A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8B4" w14:textId="4498BA81" w:rsidR="00454DC4" w:rsidRDefault="009220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5ECD74" wp14:editId="48962F13">
              <wp:simplePos x="0" y="0"/>
              <wp:positionH relativeFrom="page">
                <wp:posOffset>6751320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C9F8C" w14:textId="77777777" w:rsidR="00454DC4" w:rsidRDefault="00B26975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ECD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1.6pt;margin-top:730.4pt;width:12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AX&#10;M8cc4QAAAA8BAAAPAAAAAAAAAAAAAAAAAC4EAABkcnMvZG93bnJldi54bWxQSwUGAAAAAAQABADz&#10;AAAAPAUAAAAA&#10;" filled="f" stroked="f">
              <v:textbox inset="0,0,0,0">
                <w:txbxContent>
                  <w:p w14:paraId="6FFC9F8C" w14:textId="77777777" w:rsidR="00454DC4" w:rsidRDefault="00B26975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4798" w14:textId="77777777" w:rsidR="00AE77B7" w:rsidRDefault="00AE77B7">
      <w:r>
        <w:separator/>
      </w:r>
    </w:p>
  </w:footnote>
  <w:footnote w:type="continuationSeparator" w:id="0">
    <w:p w14:paraId="3E5004C6" w14:textId="77777777" w:rsidR="00AE77B7" w:rsidRDefault="00AE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1A29" w14:textId="1F289AD1" w:rsidR="00454DC4" w:rsidRDefault="00963E6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55CFDEF" wp14:editId="32162D2A">
          <wp:simplePos x="0" y="0"/>
          <wp:positionH relativeFrom="column">
            <wp:posOffset>-495300</wp:posOffset>
          </wp:positionH>
          <wp:positionV relativeFrom="paragraph">
            <wp:posOffset>-44450</wp:posOffset>
          </wp:positionV>
          <wp:extent cx="2908300" cy="520700"/>
          <wp:effectExtent l="0" t="0" r="0" b="0"/>
          <wp:wrapSquare wrapText="bothSides"/>
          <wp:docPr id="1919884115" name="Picture 191988411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567"/>
    <w:multiLevelType w:val="hybridMultilevel"/>
    <w:tmpl w:val="0378613C"/>
    <w:lvl w:ilvl="0" w:tplc="ED929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BFA"/>
    <w:multiLevelType w:val="hybridMultilevel"/>
    <w:tmpl w:val="BF0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386B"/>
    <w:multiLevelType w:val="hybridMultilevel"/>
    <w:tmpl w:val="89528FAC"/>
    <w:lvl w:ilvl="0" w:tplc="2D9654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6309FC"/>
    <w:multiLevelType w:val="hybridMultilevel"/>
    <w:tmpl w:val="0E94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2C18"/>
    <w:multiLevelType w:val="hybridMultilevel"/>
    <w:tmpl w:val="A292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94161">
    <w:abstractNumId w:val="4"/>
  </w:num>
  <w:num w:numId="2" w16cid:durableId="820923120">
    <w:abstractNumId w:val="2"/>
  </w:num>
  <w:num w:numId="3" w16cid:durableId="2046633822">
    <w:abstractNumId w:val="0"/>
  </w:num>
  <w:num w:numId="4" w16cid:durableId="999771398">
    <w:abstractNumId w:val="1"/>
  </w:num>
  <w:num w:numId="5" w16cid:durableId="20591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C4"/>
    <w:rsid w:val="00001223"/>
    <w:rsid w:val="00001E08"/>
    <w:rsid w:val="00003BD7"/>
    <w:rsid w:val="00005606"/>
    <w:rsid w:val="00006EA4"/>
    <w:rsid w:val="00015177"/>
    <w:rsid w:val="0001579A"/>
    <w:rsid w:val="000220FD"/>
    <w:rsid w:val="00030577"/>
    <w:rsid w:val="000326EC"/>
    <w:rsid w:val="00037F89"/>
    <w:rsid w:val="00046DAC"/>
    <w:rsid w:val="00050BA8"/>
    <w:rsid w:val="00056888"/>
    <w:rsid w:val="00066239"/>
    <w:rsid w:val="00071ED9"/>
    <w:rsid w:val="00073C40"/>
    <w:rsid w:val="0007423C"/>
    <w:rsid w:val="000749B2"/>
    <w:rsid w:val="00077665"/>
    <w:rsid w:val="00080C6E"/>
    <w:rsid w:val="00081288"/>
    <w:rsid w:val="000856A1"/>
    <w:rsid w:val="00096351"/>
    <w:rsid w:val="000A269C"/>
    <w:rsid w:val="000A2CD8"/>
    <w:rsid w:val="000A71EF"/>
    <w:rsid w:val="000B31A4"/>
    <w:rsid w:val="000B5E9A"/>
    <w:rsid w:val="000B6D00"/>
    <w:rsid w:val="000B7088"/>
    <w:rsid w:val="000C08E1"/>
    <w:rsid w:val="000C2F34"/>
    <w:rsid w:val="000C590E"/>
    <w:rsid w:val="000C70BD"/>
    <w:rsid w:val="000D73E3"/>
    <w:rsid w:val="000F1A53"/>
    <w:rsid w:val="001022F3"/>
    <w:rsid w:val="00105166"/>
    <w:rsid w:val="00111CC1"/>
    <w:rsid w:val="001131E5"/>
    <w:rsid w:val="00115D8A"/>
    <w:rsid w:val="00116CCE"/>
    <w:rsid w:val="001334D6"/>
    <w:rsid w:val="00136C62"/>
    <w:rsid w:val="00137B7B"/>
    <w:rsid w:val="00140146"/>
    <w:rsid w:val="00142C4B"/>
    <w:rsid w:val="00146A42"/>
    <w:rsid w:val="001529C8"/>
    <w:rsid w:val="001550AA"/>
    <w:rsid w:val="00157E9A"/>
    <w:rsid w:val="00164985"/>
    <w:rsid w:val="001707B8"/>
    <w:rsid w:val="00174554"/>
    <w:rsid w:val="00176459"/>
    <w:rsid w:val="00193A08"/>
    <w:rsid w:val="001973B6"/>
    <w:rsid w:val="001A22FA"/>
    <w:rsid w:val="001A326F"/>
    <w:rsid w:val="001A5134"/>
    <w:rsid w:val="001B0991"/>
    <w:rsid w:val="001B22D4"/>
    <w:rsid w:val="001C32B3"/>
    <w:rsid w:val="001C7EE8"/>
    <w:rsid w:val="001D0115"/>
    <w:rsid w:val="001D398A"/>
    <w:rsid w:val="001D679F"/>
    <w:rsid w:val="001E0B43"/>
    <w:rsid w:val="001E1235"/>
    <w:rsid w:val="001E1CE3"/>
    <w:rsid w:val="001E5985"/>
    <w:rsid w:val="001F6578"/>
    <w:rsid w:val="001F79C9"/>
    <w:rsid w:val="002015FD"/>
    <w:rsid w:val="002018CF"/>
    <w:rsid w:val="00206B01"/>
    <w:rsid w:val="00214E4C"/>
    <w:rsid w:val="00216A99"/>
    <w:rsid w:val="0022006B"/>
    <w:rsid w:val="002201A3"/>
    <w:rsid w:val="002212FB"/>
    <w:rsid w:val="00222DB8"/>
    <w:rsid w:val="0022799D"/>
    <w:rsid w:val="00230D35"/>
    <w:rsid w:val="00233FB6"/>
    <w:rsid w:val="0023496B"/>
    <w:rsid w:val="002422B9"/>
    <w:rsid w:val="002433D0"/>
    <w:rsid w:val="002458B8"/>
    <w:rsid w:val="00260D1D"/>
    <w:rsid w:val="002703E5"/>
    <w:rsid w:val="00271033"/>
    <w:rsid w:val="00275A5A"/>
    <w:rsid w:val="00281D9F"/>
    <w:rsid w:val="00283D78"/>
    <w:rsid w:val="0029701D"/>
    <w:rsid w:val="00297353"/>
    <w:rsid w:val="00297D3E"/>
    <w:rsid w:val="002A1CA8"/>
    <w:rsid w:val="002A6B10"/>
    <w:rsid w:val="002A78BA"/>
    <w:rsid w:val="002B14F7"/>
    <w:rsid w:val="002B56EF"/>
    <w:rsid w:val="002B69BA"/>
    <w:rsid w:val="002C1252"/>
    <w:rsid w:val="002C2357"/>
    <w:rsid w:val="002C3698"/>
    <w:rsid w:val="002C424F"/>
    <w:rsid w:val="002D0147"/>
    <w:rsid w:val="002D1547"/>
    <w:rsid w:val="002D28A7"/>
    <w:rsid w:val="002D5F99"/>
    <w:rsid w:val="002E2019"/>
    <w:rsid w:val="002E583F"/>
    <w:rsid w:val="002F0438"/>
    <w:rsid w:val="002F16F6"/>
    <w:rsid w:val="002F1E0C"/>
    <w:rsid w:val="002F3EA0"/>
    <w:rsid w:val="002F564B"/>
    <w:rsid w:val="002F6BB1"/>
    <w:rsid w:val="002F7429"/>
    <w:rsid w:val="003022C0"/>
    <w:rsid w:val="00310281"/>
    <w:rsid w:val="0031159F"/>
    <w:rsid w:val="0031204A"/>
    <w:rsid w:val="0031713A"/>
    <w:rsid w:val="0032104A"/>
    <w:rsid w:val="00321A83"/>
    <w:rsid w:val="00322C15"/>
    <w:rsid w:val="00325B6D"/>
    <w:rsid w:val="00331FF8"/>
    <w:rsid w:val="003339F9"/>
    <w:rsid w:val="00334318"/>
    <w:rsid w:val="0033443B"/>
    <w:rsid w:val="00336BCB"/>
    <w:rsid w:val="00340AB6"/>
    <w:rsid w:val="00343F3F"/>
    <w:rsid w:val="0034555F"/>
    <w:rsid w:val="00345C1C"/>
    <w:rsid w:val="00345F4C"/>
    <w:rsid w:val="00346AC8"/>
    <w:rsid w:val="00351328"/>
    <w:rsid w:val="00360E0A"/>
    <w:rsid w:val="00361B9B"/>
    <w:rsid w:val="00384482"/>
    <w:rsid w:val="00384D47"/>
    <w:rsid w:val="00387308"/>
    <w:rsid w:val="00392627"/>
    <w:rsid w:val="003A5357"/>
    <w:rsid w:val="003A610E"/>
    <w:rsid w:val="003A674E"/>
    <w:rsid w:val="003C1188"/>
    <w:rsid w:val="003C36B2"/>
    <w:rsid w:val="003C515E"/>
    <w:rsid w:val="003C70D7"/>
    <w:rsid w:val="003D1C54"/>
    <w:rsid w:val="003E0178"/>
    <w:rsid w:val="003E11DF"/>
    <w:rsid w:val="003E23A8"/>
    <w:rsid w:val="003E60D4"/>
    <w:rsid w:val="003E6A08"/>
    <w:rsid w:val="003E6E91"/>
    <w:rsid w:val="003F0703"/>
    <w:rsid w:val="003F1832"/>
    <w:rsid w:val="003F2284"/>
    <w:rsid w:val="003F5F19"/>
    <w:rsid w:val="003F74A1"/>
    <w:rsid w:val="003F7F02"/>
    <w:rsid w:val="003F7F89"/>
    <w:rsid w:val="00404D92"/>
    <w:rsid w:val="0041003D"/>
    <w:rsid w:val="00411CE9"/>
    <w:rsid w:val="004161DA"/>
    <w:rsid w:val="00417657"/>
    <w:rsid w:val="00422313"/>
    <w:rsid w:val="00423DBA"/>
    <w:rsid w:val="00430421"/>
    <w:rsid w:val="00432C10"/>
    <w:rsid w:val="00441FFB"/>
    <w:rsid w:val="004443EF"/>
    <w:rsid w:val="00446952"/>
    <w:rsid w:val="00446C98"/>
    <w:rsid w:val="00454DC4"/>
    <w:rsid w:val="00462F45"/>
    <w:rsid w:val="0046370B"/>
    <w:rsid w:val="00464191"/>
    <w:rsid w:val="00466845"/>
    <w:rsid w:val="004716D0"/>
    <w:rsid w:val="004722B8"/>
    <w:rsid w:val="004764FD"/>
    <w:rsid w:val="00476621"/>
    <w:rsid w:val="0048147F"/>
    <w:rsid w:val="00481731"/>
    <w:rsid w:val="00485B71"/>
    <w:rsid w:val="004914FE"/>
    <w:rsid w:val="0049215D"/>
    <w:rsid w:val="004A3404"/>
    <w:rsid w:val="004A354A"/>
    <w:rsid w:val="004A3C71"/>
    <w:rsid w:val="004B04D9"/>
    <w:rsid w:val="004B16EB"/>
    <w:rsid w:val="004B6C67"/>
    <w:rsid w:val="004C303B"/>
    <w:rsid w:val="004C5EBE"/>
    <w:rsid w:val="004C697E"/>
    <w:rsid w:val="004D0578"/>
    <w:rsid w:val="004D1EC0"/>
    <w:rsid w:val="004E57ED"/>
    <w:rsid w:val="004E6C74"/>
    <w:rsid w:val="004F24B0"/>
    <w:rsid w:val="004F56C5"/>
    <w:rsid w:val="004F5D29"/>
    <w:rsid w:val="00514675"/>
    <w:rsid w:val="00514F88"/>
    <w:rsid w:val="00516524"/>
    <w:rsid w:val="005314DF"/>
    <w:rsid w:val="00535BD0"/>
    <w:rsid w:val="00537102"/>
    <w:rsid w:val="00542677"/>
    <w:rsid w:val="00555BD5"/>
    <w:rsid w:val="005636FF"/>
    <w:rsid w:val="00564524"/>
    <w:rsid w:val="00564A4A"/>
    <w:rsid w:val="005740C6"/>
    <w:rsid w:val="00590144"/>
    <w:rsid w:val="00592A8E"/>
    <w:rsid w:val="00593F3D"/>
    <w:rsid w:val="005A4F3A"/>
    <w:rsid w:val="005A5FE8"/>
    <w:rsid w:val="005B2D09"/>
    <w:rsid w:val="005B5EC8"/>
    <w:rsid w:val="005B65C7"/>
    <w:rsid w:val="005B6E9D"/>
    <w:rsid w:val="005C049C"/>
    <w:rsid w:val="005C2833"/>
    <w:rsid w:val="005C467E"/>
    <w:rsid w:val="005D50FA"/>
    <w:rsid w:val="005D52A7"/>
    <w:rsid w:val="005E1C32"/>
    <w:rsid w:val="005E2418"/>
    <w:rsid w:val="005E42F8"/>
    <w:rsid w:val="005E481A"/>
    <w:rsid w:val="005F46C7"/>
    <w:rsid w:val="00605DCE"/>
    <w:rsid w:val="00610DDA"/>
    <w:rsid w:val="00610EF2"/>
    <w:rsid w:val="00616E5E"/>
    <w:rsid w:val="00622D3F"/>
    <w:rsid w:val="00624C51"/>
    <w:rsid w:val="0062503B"/>
    <w:rsid w:val="006311A2"/>
    <w:rsid w:val="00631826"/>
    <w:rsid w:val="00631B52"/>
    <w:rsid w:val="00637C72"/>
    <w:rsid w:val="00643F2D"/>
    <w:rsid w:val="00660353"/>
    <w:rsid w:val="006611C7"/>
    <w:rsid w:val="00661957"/>
    <w:rsid w:val="00663B08"/>
    <w:rsid w:val="0067009D"/>
    <w:rsid w:val="00670D64"/>
    <w:rsid w:val="00671C5B"/>
    <w:rsid w:val="00672464"/>
    <w:rsid w:val="00697FA7"/>
    <w:rsid w:val="006A20F1"/>
    <w:rsid w:val="006A2FD2"/>
    <w:rsid w:val="006A7E6C"/>
    <w:rsid w:val="006B3BF3"/>
    <w:rsid w:val="006C168D"/>
    <w:rsid w:val="006C70D1"/>
    <w:rsid w:val="006E3660"/>
    <w:rsid w:val="006F08AC"/>
    <w:rsid w:val="007004AA"/>
    <w:rsid w:val="00700F77"/>
    <w:rsid w:val="007013D4"/>
    <w:rsid w:val="007024FE"/>
    <w:rsid w:val="00703A4E"/>
    <w:rsid w:val="0070700E"/>
    <w:rsid w:val="0071009E"/>
    <w:rsid w:val="00711926"/>
    <w:rsid w:val="00720D67"/>
    <w:rsid w:val="00733211"/>
    <w:rsid w:val="00733E4B"/>
    <w:rsid w:val="00740AE6"/>
    <w:rsid w:val="00740ECB"/>
    <w:rsid w:val="00745B12"/>
    <w:rsid w:val="00747977"/>
    <w:rsid w:val="0075283E"/>
    <w:rsid w:val="0075396B"/>
    <w:rsid w:val="007563B4"/>
    <w:rsid w:val="00761441"/>
    <w:rsid w:val="00763978"/>
    <w:rsid w:val="00773282"/>
    <w:rsid w:val="0078012C"/>
    <w:rsid w:val="0078319C"/>
    <w:rsid w:val="00793B2A"/>
    <w:rsid w:val="007948F8"/>
    <w:rsid w:val="00794C9F"/>
    <w:rsid w:val="00794E79"/>
    <w:rsid w:val="00796872"/>
    <w:rsid w:val="007A139A"/>
    <w:rsid w:val="007A3742"/>
    <w:rsid w:val="007A7332"/>
    <w:rsid w:val="007B53D9"/>
    <w:rsid w:val="007C346D"/>
    <w:rsid w:val="007C6263"/>
    <w:rsid w:val="007D0674"/>
    <w:rsid w:val="007D1A01"/>
    <w:rsid w:val="007D553A"/>
    <w:rsid w:val="007D5E21"/>
    <w:rsid w:val="007E16B3"/>
    <w:rsid w:val="00800EF6"/>
    <w:rsid w:val="00800F87"/>
    <w:rsid w:val="00804DCD"/>
    <w:rsid w:val="00805AEB"/>
    <w:rsid w:val="00815D1C"/>
    <w:rsid w:val="00817AF6"/>
    <w:rsid w:val="00821C2A"/>
    <w:rsid w:val="00830668"/>
    <w:rsid w:val="00831165"/>
    <w:rsid w:val="00833056"/>
    <w:rsid w:val="00837184"/>
    <w:rsid w:val="0083725E"/>
    <w:rsid w:val="008376C5"/>
    <w:rsid w:val="0084244C"/>
    <w:rsid w:val="0084301E"/>
    <w:rsid w:val="008432AB"/>
    <w:rsid w:val="008527FC"/>
    <w:rsid w:val="0085616C"/>
    <w:rsid w:val="0085649D"/>
    <w:rsid w:val="008608F9"/>
    <w:rsid w:val="00860ED0"/>
    <w:rsid w:val="0086332C"/>
    <w:rsid w:val="008638A0"/>
    <w:rsid w:val="00867827"/>
    <w:rsid w:val="00870FEE"/>
    <w:rsid w:val="008731CD"/>
    <w:rsid w:val="00875EEC"/>
    <w:rsid w:val="0088001B"/>
    <w:rsid w:val="00881E95"/>
    <w:rsid w:val="00882E82"/>
    <w:rsid w:val="008836ED"/>
    <w:rsid w:val="00883ACA"/>
    <w:rsid w:val="00891F75"/>
    <w:rsid w:val="00893E47"/>
    <w:rsid w:val="0089440F"/>
    <w:rsid w:val="0089651B"/>
    <w:rsid w:val="008A000D"/>
    <w:rsid w:val="008A2AA8"/>
    <w:rsid w:val="008A38EB"/>
    <w:rsid w:val="008A39A1"/>
    <w:rsid w:val="008B3B69"/>
    <w:rsid w:val="008B525D"/>
    <w:rsid w:val="008B7AC8"/>
    <w:rsid w:val="008C0E62"/>
    <w:rsid w:val="008C1BD8"/>
    <w:rsid w:val="008C2E82"/>
    <w:rsid w:val="008C7311"/>
    <w:rsid w:val="008D7E76"/>
    <w:rsid w:val="008E1F48"/>
    <w:rsid w:val="008E4775"/>
    <w:rsid w:val="008F5A2A"/>
    <w:rsid w:val="0090071B"/>
    <w:rsid w:val="00900BFF"/>
    <w:rsid w:val="009021C0"/>
    <w:rsid w:val="009025FA"/>
    <w:rsid w:val="00903BED"/>
    <w:rsid w:val="0090593D"/>
    <w:rsid w:val="0091194A"/>
    <w:rsid w:val="009120A6"/>
    <w:rsid w:val="00912140"/>
    <w:rsid w:val="009210A7"/>
    <w:rsid w:val="00921C95"/>
    <w:rsid w:val="00922021"/>
    <w:rsid w:val="00923BE0"/>
    <w:rsid w:val="00924309"/>
    <w:rsid w:val="00926501"/>
    <w:rsid w:val="00926992"/>
    <w:rsid w:val="00933A4A"/>
    <w:rsid w:val="00936E4B"/>
    <w:rsid w:val="0094686A"/>
    <w:rsid w:val="009515E8"/>
    <w:rsid w:val="00952660"/>
    <w:rsid w:val="00953281"/>
    <w:rsid w:val="0095522C"/>
    <w:rsid w:val="0095647E"/>
    <w:rsid w:val="00963E6F"/>
    <w:rsid w:val="00964A85"/>
    <w:rsid w:val="00964ECD"/>
    <w:rsid w:val="00966313"/>
    <w:rsid w:val="00966B90"/>
    <w:rsid w:val="0097387D"/>
    <w:rsid w:val="0097788E"/>
    <w:rsid w:val="00991038"/>
    <w:rsid w:val="00992F89"/>
    <w:rsid w:val="00996965"/>
    <w:rsid w:val="009A6C07"/>
    <w:rsid w:val="009B08F5"/>
    <w:rsid w:val="009B58CD"/>
    <w:rsid w:val="009B6044"/>
    <w:rsid w:val="009B640C"/>
    <w:rsid w:val="009C19C2"/>
    <w:rsid w:val="009C52F0"/>
    <w:rsid w:val="009F4839"/>
    <w:rsid w:val="00A0046F"/>
    <w:rsid w:val="00A05361"/>
    <w:rsid w:val="00A10062"/>
    <w:rsid w:val="00A11EDF"/>
    <w:rsid w:val="00A16622"/>
    <w:rsid w:val="00A2631C"/>
    <w:rsid w:val="00A4419F"/>
    <w:rsid w:val="00A45CF5"/>
    <w:rsid w:val="00A50F1E"/>
    <w:rsid w:val="00A52868"/>
    <w:rsid w:val="00A55BFE"/>
    <w:rsid w:val="00A566AC"/>
    <w:rsid w:val="00A571AF"/>
    <w:rsid w:val="00A63029"/>
    <w:rsid w:val="00A6781A"/>
    <w:rsid w:val="00A744AC"/>
    <w:rsid w:val="00A8361C"/>
    <w:rsid w:val="00A85280"/>
    <w:rsid w:val="00A854E3"/>
    <w:rsid w:val="00A8784E"/>
    <w:rsid w:val="00A9159F"/>
    <w:rsid w:val="00A95261"/>
    <w:rsid w:val="00AA12B5"/>
    <w:rsid w:val="00AA30CA"/>
    <w:rsid w:val="00AA41E3"/>
    <w:rsid w:val="00AA78D1"/>
    <w:rsid w:val="00AB11E9"/>
    <w:rsid w:val="00AB155B"/>
    <w:rsid w:val="00AB4E4E"/>
    <w:rsid w:val="00AB5AFE"/>
    <w:rsid w:val="00AC20E3"/>
    <w:rsid w:val="00AC38F8"/>
    <w:rsid w:val="00AC3B6D"/>
    <w:rsid w:val="00AC6A55"/>
    <w:rsid w:val="00AD3501"/>
    <w:rsid w:val="00AD409E"/>
    <w:rsid w:val="00AD5060"/>
    <w:rsid w:val="00AD5AA7"/>
    <w:rsid w:val="00AE624A"/>
    <w:rsid w:val="00AE6398"/>
    <w:rsid w:val="00AE681D"/>
    <w:rsid w:val="00AE77B7"/>
    <w:rsid w:val="00AF0F4C"/>
    <w:rsid w:val="00AF30D3"/>
    <w:rsid w:val="00B26975"/>
    <w:rsid w:val="00B278C0"/>
    <w:rsid w:val="00B36808"/>
    <w:rsid w:val="00B515F7"/>
    <w:rsid w:val="00B5504B"/>
    <w:rsid w:val="00B6333B"/>
    <w:rsid w:val="00B67D9B"/>
    <w:rsid w:val="00B7281F"/>
    <w:rsid w:val="00B748A8"/>
    <w:rsid w:val="00B74998"/>
    <w:rsid w:val="00B842B4"/>
    <w:rsid w:val="00BA2930"/>
    <w:rsid w:val="00BB292D"/>
    <w:rsid w:val="00BB473A"/>
    <w:rsid w:val="00BB7FCB"/>
    <w:rsid w:val="00BC5BFE"/>
    <w:rsid w:val="00BD29AD"/>
    <w:rsid w:val="00BD4B46"/>
    <w:rsid w:val="00BD6B28"/>
    <w:rsid w:val="00BE1A93"/>
    <w:rsid w:val="00C00F53"/>
    <w:rsid w:val="00C0719E"/>
    <w:rsid w:val="00C07A14"/>
    <w:rsid w:val="00C15B7B"/>
    <w:rsid w:val="00C246B8"/>
    <w:rsid w:val="00C24711"/>
    <w:rsid w:val="00C407D3"/>
    <w:rsid w:val="00C4319B"/>
    <w:rsid w:val="00C53448"/>
    <w:rsid w:val="00C60AB3"/>
    <w:rsid w:val="00C6751B"/>
    <w:rsid w:val="00C708D6"/>
    <w:rsid w:val="00C7391E"/>
    <w:rsid w:val="00C739B1"/>
    <w:rsid w:val="00C81DB3"/>
    <w:rsid w:val="00C8223C"/>
    <w:rsid w:val="00C840EA"/>
    <w:rsid w:val="00C8433A"/>
    <w:rsid w:val="00C85075"/>
    <w:rsid w:val="00C870E4"/>
    <w:rsid w:val="00C879D4"/>
    <w:rsid w:val="00C94C34"/>
    <w:rsid w:val="00C9571B"/>
    <w:rsid w:val="00CA7642"/>
    <w:rsid w:val="00CB1777"/>
    <w:rsid w:val="00CB27C0"/>
    <w:rsid w:val="00CB6C82"/>
    <w:rsid w:val="00CB73E6"/>
    <w:rsid w:val="00CB7710"/>
    <w:rsid w:val="00CC7075"/>
    <w:rsid w:val="00CD0CA5"/>
    <w:rsid w:val="00CD0E89"/>
    <w:rsid w:val="00CD6B78"/>
    <w:rsid w:val="00CE131C"/>
    <w:rsid w:val="00CE3065"/>
    <w:rsid w:val="00CE4964"/>
    <w:rsid w:val="00CE7E55"/>
    <w:rsid w:val="00CF42EE"/>
    <w:rsid w:val="00CF7790"/>
    <w:rsid w:val="00D03A01"/>
    <w:rsid w:val="00D1199D"/>
    <w:rsid w:val="00D12083"/>
    <w:rsid w:val="00D16765"/>
    <w:rsid w:val="00D17567"/>
    <w:rsid w:val="00D21DC7"/>
    <w:rsid w:val="00D22CF5"/>
    <w:rsid w:val="00D2359E"/>
    <w:rsid w:val="00D3313C"/>
    <w:rsid w:val="00D361D5"/>
    <w:rsid w:val="00D37110"/>
    <w:rsid w:val="00D45BC0"/>
    <w:rsid w:val="00D47B85"/>
    <w:rsid w:val="00D51C73"/>
    <w:rsid w:val="00D5209A"/>
    <w:rsid w:val="00D55132"/>
    <w:rsid w:val="00D57E51"/>
    <w:rsid w:val="00D60837"/>
    <w:rsid w:val="00D61DC9"/>
    <w:rsid w:val="00D64813"/>
    <w:rsid w:val="00D651C2"/>
    <w:rsid w:val="00D65245"/>
    <w:rsid w:val="00D67BEA"/>
    <w:rsid w:val="00D7095E"/>
    <w:rsid w:val="00D71517"/>
    <w:rsid w:val="00D72667"/>
    <w:rsid w:val="00D72A29"/>
    <w:rsid w:val="00D801AD"/>
    <w:rsid w:val="00D82306"/>
    <w:rsid w:val="00D83A08"/>
    <w:rsid w:val="00D8755A"/>
    <w:rsid w:val="00D9001B"/>
    <w:rsid w:val="00D9006A"/>
    <w:rsid w:val="00D9454C"/>
    <w:rsid w:val="00D94DFA"/>
    <w:rsid w:val="00DA4663"/>
    <w:rsid w:val="00DC2366"/>
    <w:rsid w:val="00DC2BF7"/>
    <w:rsid w:val="00DC3E98"/>
    <w:rsid w:val="00DC5D61"/>
    <w:rsid w:val="00DD2EB3"/>
    <w:rsid w:val="00DD4366"/>
    <w:rsid w:val="00DD5496"/>
    <w:rsid w:val="00DD652E"/>
    <w:rsid w:val="00DE1FE0"/>
    <w:rsid w:val="00DE5CDC"/>
    <w:rsid w:val="00DE679F"/>
    <w:rsid w:val="00DF58F4"/>
    <w:rsid w:val="00E047D6"/>
    <w:rsid w:val="00E07609"/>
    <w:rsid w:val="00E1418E"/>
    <w:rsid w:val="00E146D3"/>
    <w:rsid w:val="00E21181"/>
    <w:rsid w:val="00E223D5"/>
    <w:rsid w:val="00E24AA9"/>
    <w:rsid w:val="00E2746C"/>
    <w:rsid w:val="00E31D30"/>
    <w:rsid w:val="00E43854"/>
    <w:rsid w:val="00E44D7B"/>
    <w:rsid w:val="00E46BE3"/>
    <w:rsid w:val="00E47467"/>
    <w:rsid w:val="00E479D6"/>
    <w:rsid w:val="00E47ACD"/>
    <w:rsid w:val="00E52DD9"/>
    <w:rsid w:val="00E543B1"/>
    <w:rsid w:val="00E60F26"/>
    <w:rsid w:val="00E807C1"/>
    <w:rsid w:val="00E8206C"/>
    <w:rsid w:val="00E877C1"/>
    <w:rsid w:val="00E90F72"/>
    <w:rsid w:val="00E91366"/>
    <w:rsid w:val="00E93830"/>
    <w:rsid w:val="00E94F7A"/>
    <w:rsid w:val="00EA15D9"/>
    <w:rsid w:val="00EA2AFA"/>
    <w:rsid w:val="00EA45CF"/>
    <w:rsid w:val="00EA5946"/>
    <w:rsid w:val="00EA7530"/>
    <w:rsid w:val="00EB2774"/>
    <w:rsid w:val="00EC476B"/>
    <w:rsid w:val="00EE097B"/>
    <w:rsid w:val="00EE1C37"/>
    <w:rsid w:val="00EF06CB"/>
    <w:rsid w:val="00EF2A6D"/>
    <w:rsid w:val="00EF5538"/>
    <w:rsid w:val="00F016DC"/>
    <w:rsid w:val="00F02C4C"/>
    <w:rsid w:val="00F118ED"/>
    <w:rsid w:val="00F13A8F"/>
    <w:rsid w:val="00F158F1"/>
    <w:rsid w:val="00F15BDC"/>
    <w:rsid w:val="00F176C5"/>
    <w:rsid w:val="00F25D7F"/>
    <w:rsid w:val="00F272AB"/>
    <w:rsid w:val="00F3127E"/>
    <w:rsid w:val="00F37E8D"/>
    <w:rsid w:val="00F41079"/>
    <w:rsid w:val="00F4373E"/>
    <w:rsid w:val="00F444C9"/>
    <w:rsid w:val="00F45EB9"/>
    <w:rsid w:val="00F537E1"/>
    <w:rsid w:val="00F55BCD"/>
    <w:rsid w:val="00F6505F"/>
    <w:rsid w:val="00F6532D"/>
    <w:rsid w:val="00F717CF"/>
    <w:rsid w:val="00F71D24"/>
    <w:rsid w:val="00F71E56"/>
    <w:rsid w:val="00F73F39"/>
    <w:rsid w:val="00F86B80"/>
    <w:rsid w:val="00F90CF7"/>
    <w:rsid w:val="00F92743"/>
    <w:rsid w:val="00F96CDD"/>
    <w:rsid w:val="00FB01EF"/>
    <w:rsid w:val="00FB062B"/>
    <w:rsid w:val="00FB15F5"/>
    <w:rsid w:val="00FB2688"/>
    <w:rsid w:val="00FB49B0"/>
    <w:rsid w:val="00FB4D35"/>
    <w:rsid w:val="00FB4DA7"/>
    <w:rsid w:val="00FB5164"/>
    <w:rsid w:val="00FC29B3"/>
    <w:rsid w:val="00FD0BD2"/>
    <w:rsid w:val="00FD39BB"/>
    <w:rsid w:val="00FE11E3"/>
    <w:rsid w:val="00FE183F"/>
    <w:rsid w:val="00FE2461"/>
    <w:rsid w:val="00FE4F52"/>
    <w:rsid w:val="00FE7B37"/>
    <w:rsid w:val="00FE7CD1"/>
    <w:rsid w:val="00FF0AF4"/>
    <w:rsid w:val="00FF47D3"/>
    <w:rsid w:val="00FF602D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47114"/>
  <w15:docId w15:val="{79D82CA5-4C15-4B26-B4A2-18E14A12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"/>
      <w:ind w:left="1665" w:right="19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963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E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3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6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371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159F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C3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6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nterforjobs.org/ca.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Armour</dc:creator>
  <cp:lastModifiedBy>Michael Kahoe</cp:lastModifiedBy>
  <cp:revision>3</cp:revision>
  <cp:lastPrinted>2022-07-22T23:17:00Z</cp:lastPrinted>
  <dcterms:created xsi:type="dcterms:W3CDTF">2026-04-03T18:25:00Z</dcterms:created>
  <dcterms:modified xsi:type="dcterms:W3CDTF">2026-04-03T22:20:00Z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2022-07-21T00:00:00Z</vt:filetime>
  </property>
  <property fmtid="{D5CDD505-2E9C-101B-9397-08002B2CF9AE}" pid="5" name="Producer">
    <vt:lpwstr>Microsoft® Word for Microsoft 365</vt:lpwstr>
  </property>
</Properties>
</file>