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D26B88" w14:textId="77777777" w:rsidR="002201A3" w:rsidRDefault="002201A3">
      <w:pPr>
        <w:pStyle w:val="BodyText"/>
        <w:spacing w:before="9"/>
        <w:rPr>
          <w:rFonts w:ascii="Times New Roman"/>
          <w:sz w:val="16"/>
        </w:rPr>
      </w:pPr>
    </w:p>
    <w:p w14:paraId="6BE5A911" w14:textId="0F44AD43" w:rsidR="00D94DFA" w:rsidRDefault="00B26975" w:rsidP="00B36808">
      <w:pPr>
        <w:pStyle w:val="Title"/>
        <w:ind w:left="720"/>
        <w:rPr>
          <w:spacing w:val="-2"/>
        </w:rPr>
      </w:pPr>
      <w:r>
        <w:t>California</w:t>
      </w:r>
      <w:r>
        <w:rPr>
          <w:spacing w:val="-3"/>
        </w:rPr>
        <w:t xml:space="preserve"> </w:t>
      </w:r>
      <w:r w:rsidR="005A5FE8">
        <w:t xml:space="preserve">Employment Report for </w:t>
      </w:r>
      <w:r w:rsidR="00E21000">
        <w:t>March</w:t>
      </w:r>
      <w:r w:rsidR="00DC2BF7">
        <w:t xml:space="preserve"> 2026</w:t>
      </w:r>
    </w:p>
    <w:p w14:paraId="247112FF" w14:textId="2081D792" w:rsidR="00A9159F" w:rsidRDefault="00AF30D3" w:rsidP="00322C15">
      <w:pPr>
        <w:pStyle w:val="BodyText"/>
        <w:spacing w:before="193" w:line="259" w:lineRule="auto"/>
        <w:ind w:left="100" w:right="403"/>
        <w:rPr>
          <w:spacing w:val="-2"/>
        </w:rPr>
      </w:pPr>
      <w:r>
        <w:rPr>
          <w:spacing w:val="-2"/>
        </w:rPr>
        <w:t xml:space="preserve">The </w:t>
      </w:r>
      <w:r w:rsidR="00A9159F" w:rsidRPr="00A9159F">
        <w:rPr>
          <w:spacing w:val="-2"/>
        </w:rPr>
        <w:t xml:space="preserve">Center for Jobs and the Economy has released our initial analysis of the </w:t>
      </w:r>
      <w:r w:rsidR="002925F5">
        <w:rPr>
          <w:spacing w:val="-2"/>
        </w:rPr>
        <w:t>February</w:t>
      </w:r>
      <w:r w:rsidR="00CE4964">
        <w:rPr>
          <w:spacing w:val="-2"/>
        </w:rPr>
        <w:t xml:space="preserve"> employment and labor force data</w:t>
      </w:r>
      <w:r w:rsidR="00A9159F" w:rsidRPr="00A9159F">
        <w:rPr>
          <w:spacing w:val="-2"/>
        </w:rPr>
        <w:t xml:space="preserve">. </w:t>
      </w:r>
      <w:r w:rsidR="00C15B7B">
        <w:rPr>
          <w:spacing w:val="-2"/>
        </w:rPr>
        <w:t xml:space="preserve"> </w:t>
      </w:r>
      <w:r w:rsidR="00142C4B">
        <w:rPr>
          <w:spacing w:val="-2"/>
        </w:rPr>
        <w:t xml:space="preserve">The EDD and BLS releases are again </w:t>
      </w:r>
      <w:r w:rsidR="001334D6">
        <w:rPr>
          <w:spacing w:val="-2"/>
        </w:rPr>
        <w:t>on different schedules.  D</w:t>
      </w:r>
      <w:r w:rsidR="00C15B7B">
        <w:rPr>
          <w:spacing w:val="-2"/>
        </w:rPr>
        <w:t xml:space="preserve">ata for the other states will be addressed in our Full Jobs Report after it is released by Bureau of Labor Statistics next </w:t>
      </w:r>
      <w:r w:rsidR="00CE4964">
        <w:rPr>
          <w:spacing w:val="-2"/>
        </w:rPr>
        <w:t>week</w:t>
      </w:r>
      <w:r w:rsidR="00C15B7B">
        <w:rPr>
          <w:spacing w:val="-2"/>
        </w:rPr>
        <w:t xml:space="preserve">.  </w:t>
      </w:r>
      <w:r w:rsidR="00A9159F" w:rsidRPr="00A9159F">
        <w:rPr>
          <w:spacing w:val="-2"/>
        </w:rPr>
        <w:t>For additional information and data about the</w:t>
      </w:r>
      <w:r w:rsidR="00AB155B">
        <w:rPr>
          <w:spacing w:val="-2"/>
        </w:rPr>
        <w:t xml:space="preserve"> </w:t>
      </w:r>
      <w:r w:rsidR="00A9159F" w:rsidRPr="00A9159F">
        <w:rPr>
          <w:spacing w:val="-2"/>
        </w:rPr>
        <w:t>California economy visit</w:t>
      </w:r>
      <w:r w:rsidR="00260D1D">
        <w:rPr>
          <w:rFonts w:ascii="Arial" w:hAnsi="Arial" w:cs="Arial"/>
          <w:color w:val="272727"/>
          <w:sz w:val="36"/>
          <w:szCs w:val="36"/>
          <w:shd w:val="clear" w:color="auto" w:fill="FFFFFF"/>
        </w:rPr>
        <w:t xml:space="preserve"> </w:t>
      </w:r>
      <w:hyperlink r:id="rId7" w:history="1">
        <w:r w:rsidR="00260D1D" w:rsidRPr="00274E60">
          <w:rPr>
            <w:rStyle w:val="Hyperlink"/>
            <w:spacing w:val="-2"/>
          </w:rPr>
          <w:t>www.centerforjobs.org/ca.</w:t>
        </w:r>
      </w:hyperlink>
      <w:r w:rsidR="00260D1D">
        <w:rPr>
          <w:spacing w:val="-2"/>
        </w:rPr>
        <w:t xml:space="preserve"> </w:t>
      </w:r>
      <w:r w:rsidR="00423DBA">
        <w:rPr>
          <w:spacing w:val="-2"/>
        </w:rPr>
        <w:t xml:space="preserve"> </w:t>
      </w:r>
      <w:r w:rsidR="00720D67">
        <w:rPr>
          <w:spacing w:val="-2"/>
        </w:rPr>
        <w:t xml:space="preserve"> </w:t>
      </w:r>
    </w:p>
    <w:p w14:paraId="339810C2" w14:textId="10EDDF74" w:rsidR="00C15B7B" w:rsidRDefault="00C15B7B" w:rsidP="00CF42EE">
      <w:pPr>
        <w:spacing w:before="161"/>
        <w:ind w:left="100"/>
        <w:rPr>
          <w:b/>
          <w:sz w:val="28"/>
        </w:rPr>
      </w:pPr>
      <w:r>
        <w:rPr>
          <w:b/>
          <w:sz w:val="28"/>
        </w:rPr>
        <w:t xml:space="preserve">Nonfarm Jobs </w:t>
      </w:r>
      <w:r w:rsidR="00F74A65">
        <w:rPr>
          <w:b/>
          <w:sz w:val="28"/>
        </w:rPr>
        <w:t>Rise 28,700 as Striking Healthcare Workers Go Back to Work</w:t>
      </w:r>
    </w:p>
    <w:p w14:paraId="66575DAD" w14:textId="3435D9B6" w:rsidR="009515E8" w:rsidRDefault="009515E8" w:rsidP="009515E8"/>
    <w:p w14:paraId="4AFFCE00" w14:textId="4075B870" w:rsidR="00C15B7B" w:rsidRDefault="005B6E9D" w:rsidP="009515E8">
      <w:pPr>
        <w:ind w:left="90"/>
      </w:pPr>
      <w:r>
        <w:t xml:space="preserve">Nonfarm wage and salary jobs (seasonally adjusted) </w:t>
      </w:r>
      <w:r w:rsidR="00F74A65">
        <w:t>rose 28,700</w:t>
      </w:r>
      <w:r>
        <w:t xml:space="preserve"> in the preliminary estimate for </w:t>
      </w:r>
      <w:r w:rsidR="00F74A65">
        <w:t>March</w:t>
      </w:r>
      <w:r w:rsidR="00780329">
        <w:t xml:space="preserve"> primarily </w:t>
      </w:r>
      <w:r w:rsidR="00F74A65">
        <w:t>as healthcare workers ended their strikes</w:t>
      </w:r>
      <w:r>
        <w:t xml:space="preserve">.  </w:t>
      </w:r>
      <w:r w:rsidR="00F74A65">
        <w:t>February</w:t>
      </w:r>
      <w:r w:rsidR="002925F5">
        <w:t xml:space="preserve">’s </w:t>
      </w:r>
      <w:r w:rsidR="00F74A65">
        <w:t>losse</w:t>
      </w:r>
      <w:r w:rsidR="002925F5">
        <w:t xml:space="preserve">s were revised </w:t>
      </w:r>
      <w:r w:rsidR="00F74A65">
        <w:t>up</w:t>
      </w:r>
      <w:r w:rsidR="002925F5">
        <w:t xml:space="preserve"> by </w:t>
      </w:r>
      <w:r w:rsidR="00F74A65">
        <w:t>1,100</w:t>
      </w:r>
      <w:r w:rsidR="002925F5">
        <w:t xml:space="preserve"> to a </w:t>
      </w:r>
      <w:r w:rsidR="00F74A65">
        <w:t>loss</w:t>
      </w:r>
      <w:r w:rsidR="002925F5">
        <w:t xml:space="preserve"> of </w:t>
      </w:r>
      <w:r w:rsidR="00F74A65">
        <w:t>18</w:t>
      </w:r>
      <w:r w:rsidR="002925F5">
        <w:t>,800</w:t>
      </w:r>
      <w:r>
        <w:t xml:space="preserve">.  </w:t>
      </w:r>
      <w:r w:rsidR="00CE4964">
        <w:t xml:space="preserve">For the year, the preliminary </w:t>
      </w:r>
      <w:r w:rsidR="00F74A65">
        <w:t>March</w:t>
      </w:r>
      <w:r w:rsidR="00CE4964">
        <w:t xml:space="preserve"> </w:t>
      </w:r>
      <w:r w:rsidR="00137ED1">
        <w:t xml:space="preserve">seasonally adjusted </w:t>
      </w:r>
      <w:r w:rsidR="00CE4964">
        <w:t xml:space="preserve">numbers </w:t>
      </w:r>
      <w:r w:rsidR="00005606">
        <w:t xml:space="preserve">showed a gain of </w:t>
      </w:r>
      <w:r w:rsidR="00F74A65">
        <w:t>144,700</w:t>
      </w:r>
      <w:r w:rsidR="00005606">
        <w:t>.</w:t>
      </w:r>
      <w:r w:rsidR="00142C4B">
        <w:t xml:space="preserve">  </w:t>
      </w:r>
    </w:p>
    <w:p w14:paraId="342B622A" w14:textId="77777777" w:rsidR="002925F5" w:rsidRDefault="002925F5" w:rsidP="009515E8">
      <w:pPr>
        <w:ind w:left="90"/>
      </w:pPr>
    </w:p>
    <w:p w14:paraId="6431F0A6" w14:textId="77B89922" w:rsidR="002925F5" w:rsidRDefault="00F74A65" w:rsidP="009515E8">
      <w:pPr>
        <w:ind w:left="90"/>
      </w:pPr>
      <w:r>
        <w:t>Adjusting for the effects of the February strikes by combining the February and March results, the average gain for the two months was only 5,000 nonfarm jobs</w:t>
      </w:r>
      <w:r w:rsidR="002925F5">
        <w:t>.</w:t>
      </w:r>
    </w:p>
    <w:p w14:paraId="06F6C6A6" w14:textId="77777777" w:rsidR="009515E8" w:rsidRDefault="009515E8" w:rsidP="009515E8">
      <w:pPr>
        <w:ind w:left="90"/>
      </w:pPr>
    </w:p>
    <w:p w14:paraId="768522D0" w14:textId="51C947EE" w:rsidR="00EE1C37" w:rsidRDefault="00891F75" w:rsidP="00C6751B">
      <w:r>
        <w:t xml:space="preserve">By industry, </w:t>
      </w:r>
      <w:r w:rsidR="00C6751B">
        <w:t xml:space="preserve">the preliminary </w:t>
      </w:r>
      <w:r w:rsidR="00F74A65">
        <w:t>March</w:t>
      </w:r>
      <w:r w:rsidR="00C6751B">
        <w:t xml:space="preserve"> numbers still show government and government-supported Healthcare &amp; Social Services dominating the numbers.  However, </w:t>
      </w:r>
      <w:r w:rsidR="00137ED1">
        <w:t xml:space="preserve">growth still was seen in some of the Other Private Industries, including </w:t>
      </w:r>
      <w:r w:rsidR="00F74A65">
        <w:t xml:space="preserve">Construction, Retail Trade, </w:t>
      </w:r>
      <w:r w:rsidR="00F74A65" w:rsidRPr="00F74A65">
        <w:t>Real Estate &amp; Rental &amp; Leasing</w:t>
      </w:r>
      <w:r w:rsidR="00F74A65">
        <w:t xml:space="preserve">, and </w:t>
      </w:r>
      <w:r w:rsidR="00F74A65" w:rsidRPr="00F74A65">
        <w:t>Arts, Entertainment &amp; Recreation</w:t>
      </w:r>
      <w:r w:rsidR="00C6751B">
        <w:t xml:space="preserve">.  </w:t>
      </w:r>
    </w:p>
    <w:p w14:paraId="0FCC8F8E" w14:textId="77777777" w:rsidR="00EE1C37" w:rsidRDefault="00EE1C37" w:rsidP="009515E8"/>
    <w:tbl>
      <w:tblPr>
        <w:tblW w:w="8910" w:type="dxa"/>
        <w:jc w:val="center"/>
        <w:tblLook w:val="04A0" w:firstRow="1" w:lastRow="0" w:firstColumn="1" w:lastColumn="0" w:noHBand="0" w:noVBand="1"/>
      </w:tblPr>
      <w:tblGrid>
        <w:gridCol w:w="5850"/>
        <w:gridCol w:w="1400"/>
        <w:gridCol w:w="1660"/>
      </w:tblGrid>
      <w:tr w:rsidR="00E543B1" w:rsidRPr="00CB27C0" w14:paraId="6B6607EF" w14:textId="77777777" w:rsidTr="00C94626">
        <w:trPr>
          <w:trHeight w:val="315"/>
          <w:jc w:val="center"/>
        </w:trPr>
        <w:tc>
          <w:tcPr>
            <w:tcW w:w="891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0C1F1CC" w14:textId="77777777" w:rsidR="00E543B1" w:rsidRPr="00CB27C0" w:rsidRDefault="00E543B1" w:rsidP="00C94626">
            <w:pPr>
              <w:widowControl/>
              <w:autoSpaceDE/>
              <w:autoSpaceDN/>
              <w:rPr>
                <w:rFonts w:eastAsia="Times New Roman"/>
                <w:b/>
                <w:bCs/>
                <w:color w:val="000000"/>
                <w:sz w:val="24"/>
                <w:szCs w:val="24"/>
              </w:rPr>
            </w:pPr>
            <w:r w:rsidRPr="00CB27C0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>Change in Nonfarm Jobs by Industry</w:t>
            </w:r>
          </w:p>
        </w:tc>
      </w:tr>
      <w:tr w:rsidR="00E543B1" w:rsidRPr="00CB27C0" w14:paraId="150024F4" w14:textId="77777777" w:rsidTr="00C94626">
        <w:trPr>
          <w:trHeight w:val="300"/>
          <w:jc w:val="center"/>
        </w:trPr>
        <w:tc>
          <w:tcPr>
            <w:tcW w:w="891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44B3A16" w14:textId="77777777" w:rsidR="00E543B1" w:rsidRPr="00CB27C0" w:rsidRDefault="00E543B1" w:rsidP="00C94626">
            <w:pPr>
              <w:widowControl/>
              <w:autoSpaceDE/>
              <w:autoSpaceDN/>
              <w:rPr>
                <w:rFonts w:eastAsia="Times New Roman"/>
                <w:i/>
                <w:iCs/>
                <w:color w:val="000000"/>
                <w:sz w:val="16"/>
                <w:szCs w:val="16"/>
              </w:rPr>
            </w:pPr>
            <w:r w:rsidRPr="00CB27C0">
              <w:rPr>
                <w:rFonts w:eastAsia="Times New Roman"/>
                <w:i/>
                <w:iCs/>
                <w:color w:val="000000"/>
                <w:sz w:val="16"/>
                <w:szCs w:val="16"/>
              </w:rPr>
              <w:t>Source:  EDD, seasonally adjusted</w:t>
            </w:r>
          </w:p>
        </w:tc>
      </w:tr>
      <w:tr w:rsidR="00E543B1" w:rsidRPr="00CB27C0" w14:paraId="32C4959B" w14:textId="77777777" w:rsidTr="00C94626">
        <w:trPr>
          <w:trHeight w:val="315"/>
          <w:jc w:val="center"/>
        </w:trPr>
        <w:tc>
          <w:tcPr>
            <w:tcW w:w="5850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419658A4" w14:textId="77777777" w:rsidR="00E543B1" w:rsidRPr="00CB27C0" w:rsidRDefault="00E543B1" w:rsidP="00C94626">
            <w:pPr>
              <w:widowControl/>
              <w:autoSpaceDE/>
              <w:autoSpaceDN/>
              <w:rPr>
                <w:rFonts w:eastAsia="Times New Roman"/>
                <w:color w:val="000000"/>
                <w:sz w:val="20"/>
                <w:szCs w:val="20"/>
              </w:rPr>
            </w:pPr>
            <w:r w:rsidRPr="00CB27C0">
              <w:rPr>
                <w:rFonts w:eastAsia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3FD367AA" w14:textId="77777777" w:rsidR="00E543B1" w:rsidRPr="00CB27C0" w:rsidRDefault="00E543B1" w:rsidP="00C94626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CB27C0">
              <w:rPr>
                <w:rFonts w:eastAsia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2C3CC7AA" w14:textId="77777777" w:rsidR="00E543B1" w:rsidRPr="00CB27C0" w:rsidRDefault="00E543B1" w:rsidP="00C94626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CB27C0">
              <w:rPr>
                <w:rFonts w:eastAsia="Times New Roman"/>
                <w:color w:val="000000"/>
                <w:sz w:val="20"/>
                <w:szCs w:val="20"/>
              </w:rPr>
              <w:t> </w:t>
            </w:r>
          </w:p>
        </w:tc>
      </w:tr>
      <w:tr w:rsidR="00F74A65" w:rsidRPr="00CB27C0" w14:paraId="0AE46455" w14:textId="77777777" w:rsidTr="00BB0447">
        <w:trPr>
          <w:trHeight w:val="315"/>
          <w:jc w:val="center"/>
        </w:trPr>
        <w:tc>
          <w:tcPr>
            <w:tcW w:w="585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AAC34C6" w14:textId="77777777" w:rsidR="00F74A65" w:rsidRPr="00CB27C0" w:rsidRDefault="00F74A65" w:rsidP="00F74A65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</w:p>
        </w:tc>
        <w:tc>
          <w:tcPr>
            <w:tcW w:w="140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7B71651F" w14:textId="506651C7" w:rsidR="00F74A65" w:rsidRPr="00CB27C0" w:rsidRDefault="00F74A65" w:rsidP="00F74A65">
            <w:pPr>
              <w:widowControl/>
              <w:autoSpaceDE/>
              <w:autoSpaceDN/>
              <w:jc w:val="right"/>
              <w:rPr>
                <w:rFonts w:eastAsia="Times New Roman"/>
                <w:i/>
                <w:iCs/>
                <w:color w:val="000000"/>
                <w:sz w:val="16"/>
                <w:szCs w:val="16"/>
              </w:rPr>
            </w:pPr>
            <w:r>
              <w:rPr>
                <w:i/>
                <w:iCs/>
                <w:color w:val="000000"/>
                <w:sz w:val="16"/>
                <w:szCs w:val="16"/>
              </w:rPr>
              <w:t>From Feb 2026</w:t>
            </w:r>
          </w:p>
        </w:tc>
        <w:tc>
          <w:tcPr>
            <w:tcW w:w="166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48414442" w14:textId="6B3C7C7E" w:rsidR="00F74A65" w:rsidRPr="00CB27C0" w:rsidRDefault="00F74A65" w:rsidP="00F74A65">
            <w:pPr>
              <w:widowControl/>
              <w:autoSpaceDE/>
              <w:autoSpaceDN/>
              <w:jc w:val="right"/>
              <w:rPr>
                <w:rFonts w:eastAsia="Times New Roman"/>
                <w:i/>
                <w:iCs/>
                <w:color w:val="000000"/>
                <w:sz w:val="16"/>
                <w:szCs w:val="16"/>
              </w:rPr>
            </w:pPr>
            <w:r>
              <w:rPr>
                <w:i/>
                <w:iCs/>
                <w:color w:val="000000"/>
                <w:sz w:val="16"/>
                <w:szCs w:val="16"/>
              </w:rPr>
              <w:t>From Mar 2025</w:t>
            </w:r>
          </w:p>
        </w:tc>
      </w:tr>
      <w:tr w:rsidR="00F74A65" w:rsidRPr="00740AE6" w14:paraId="002BC2C9" w14:textId="77777777" w:rsidTr="00F46BD8">
        <w:trPr>
          <w:trHeight w:val="300"/>
          <w:jc w:val="center"/>
        </w:trPr>
        <w:tc>
          <w:tcPr>
            <w:tcW w:w="585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6E9C7E0" w14:textId="77777777" w:rsidR="00F74A65" w:rsidRPr="00CB27C0" w:rsidRDefault="00F74A65" w:rsidP="00F74A65">
            <w:pPr>
              <w:widowControl/>
              <w:autoSpaceDE/>
              <w:autoSpaceDN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 w:rsidRPr="00CB27C0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Total Nonfarm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1A5C2A8" w14:textId="0B39FDCB" w:rsidR="00F74A65" w:rsidRPr="00740AE6" w:rsidRDefault="00F74A65" w:rsidP="00F74A65">
            <w:pPr>
              <w:widowControl/>
              <w:autoSpaceDE/>
              <w:autoSpaceDN/>
              <w:jc w:val="right"/>
              <w:rPr>
                <w:rFonts w:eastAsia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28,700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F295842" w14:textId="43A76482" w:rsidR="00F74A65" w:rsidRPr="00740AE6" w:rsidRDefault="00F74A65" w:rsidP="00F74A65">
            <w:pPr>
              <w:widowControl/>
              <w:autoSpaceDE/>
              <w:autoSpaceDN/>
              <w:jc w:val="right"/>
              <w:rPr>
                <w:rFonts w:eastAsia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144,700</w:t>
            </w:r>
          </w:p>
        </w:tc>
      </w:tr>
      <w:tr w:rsidR="00F74A65" w:rsidRPr="00740AE6" w14:paraId="0A40365C" w14:textId="77777777" w:rsidTr="00F46BD8">
        <w:trPr>
          <w:trHeight w:val="300"/>
          <w:jc w:val="center"/>
        </w:trPr>
        <w:tc>
          <w:tcPr>
            <w:tcW w:w="585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9DC39B1" w14:textId="77777777" w:rsidR="00F74A65" w:rsidRPr="00CB27C0" w:rsidRDefault="00F74A65" w:rsidP="00F74A65">
            <w:pPr>
              <w:widowControl/>
              <w:autoSpaceDE/>
              <w:autoSpaceDN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 w:rsidRPr="00CB27C0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Government &amp; Government Supported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09DF646" w14:textId="123A9C84" w:rsidR="00F74A65" w:rsidRPr="00740AE6" w:rsidRDefault="00F74A65" w:rsidP="00F74A65">
            <w:pPr>
              <w:widowControl/>
              <w:autoSpaceDE/>
              <w:autoSpaceDN/>
              <w:jc w:val="right"/>
              <w:rPr>
                <w:rFonts w:eastAsia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34,000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6FD9B6B" w14:textId="3FC72ADE" w:rsidR="00F74A65" w:rsidRPr="00740AE6" w:rsidRDefault="00F74A65" w:rsidP="00F74A65">
            <w:pPr>
              <w:widowControl/>
              <w:autoSpaceDE/>
              <w:autoSpaceDN/>
              <w:jc w:val="right"/>
              <w:rPr>
                <w:rFonts w:eastAsia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108,900</w:t>
            </w:r>
          </w:p>
        </w:tc>
      </w:tr>
      <w:tr w:rsidR="00F74A65" w:rsidRPr="00740AE6" w14:paraId="080D3630" w14:textId="77777777" w:rsidTr="00F46BD8">
        <w:trPr>
          <w:trHeight w:val="300"/>
          <w:jc w:val="center"/>
        </w:trPr>
        <w:tc>
          <w:tcPr>
            <w:tcW w:w="585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C72283C" w14:textId="77777777" w:rsidR="00F74A65" w:rsidRPr="00CB27C0" w:rsidRDefault="00F74A65" w:rsidP="00F74A65">
            <w:pPr>
              <w:widowControl/>
              <w:autoSpaceDE/>
              <w:autoSpaceDN/>
              <w:ind w:firstLineChars="100" w:firstLine="180"/>
              <w:rPr>
                <w:rFonts w:eastAsia="Times New Roman"/>
                <w:color w:val="000000"/>
                <w:sz w:val="18"/>
                <w:szCs w:val="18"/>
              </w:rPr>
            </w:pPr>
            <w:r w:rsidRPr="00CB27C0">
              <w:rPr>
                <w:rFonts w:eastAsia="Times New Roman"/>
                <w:color w:val="000000"/>
                <w:sz w:val="18"/>
                <w:szCs w:val="18"/>
              </w:rPr>
              <w:t>Government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27E6435" w14:textId="477FA407" w:rsidR="00F74A65" w:rsidRPr="00740AE6" w:rsidRDefault="00F74A65" w:rsidP="00F74A65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4,600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5D719FF" w14:textId="3D49B43C" w:rsidR="00F74A65" w:rsidRPr="00740AE6" w:rsidRDefault="00F74A65" w:rsidP="00F74A65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-42,900</w:t>
            </w:r>
          </w:p>
        </w:tc>
      </w:tr>
      <w:tr w:rsidR="00F74A65" w:rsidRPr="00740AE6" w14:paraId="1F7F9896" w14:textId="77777777" w:rsidTr="00F46BD8">
        <w:trPr>
          <w:trHeight w:val="300"/>
          <w:jc w:val="center"/>
        </w:trPr>
        <w:tc>
          <w:tcPr>
            <w:tcW w:w="585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DE48E26" w14:textId="77777777" w:rsidR="00F74A65" w:rsidRPr="00CB27C0" w:rsidRDefault="00F74A65" w:rsidP="00F74A65">
            <w:pPr>
              <w:widowControl/>
              <w:autoSpaceDE/>
              <w:autoSpaceDN/>
              <w:ind w:firstLineChars="100" w:firstLine="180"/>
              <w:rPr>
                <w:rFonts w:eastAsia="Times New Roman"/>
                <w:color w:val="000000"/>
                <w:sz w:val="18"/>
                <w:szCs w:val="18"/>
              </w:rPr>
            </w:pPr>
            <w:r w:rsidRPr="00CB27C0">
              <w:rPr>
                <w:rFonts w:eastAsia="Times New Roman"/>
                <w:color w:val="000000"/>
                <w:sz w:val="18"/>
                <w:szCs w:val="18"/>
              </w:rPr>
              <w:t>Health Care &amp; Social Assistance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42E4948" w14:textId="05F1602F" w:rsidR="00F74A65" w:rsidRPr="00740AE6" w:rsidRDefault="00F74A65" w:rsidP="00F74A65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29,400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EBE2433" w14:textId="5B9BF347" w:rsidR="00F74A65" w:rsidRPr="00740AE6" w:rsidRDefault="00F74A65" w:rsidP="00F74A65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151,800</w:t>
            </w:r>
          </w:p>
        </w:tc>
      </w:tr>
      <w:tr w:rsidR="00F74A65" w:rsidRPr="00740AE6" w14:paraId="1C447312" w14:textId="77777777" w:rsidTr="00F46BD8">
        <w:trPr>
          <w:trHeight w:val="300"/>
          <w:jc w:val="center"/>
        </w:trPr>
        <w:tc>
          <w:tcPr>
            <w:tcW w:w="585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D0D8715" w14:textId="77777777" w:rsidR="00F74A65" w:rsidRPr="00CB27C0" w:rsidRDefault="00F74A65" w:rsidP="00F74A65">
            <w:pPr>
              <w:widowControl/>
              <w:autoSpaceDE/>
              <w:autoSpaceDN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 w:rsidRPr="00CB27C0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Other Private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B04339B" w14:textId="4B8492FD" w:rsidR="00F74A65" w:rsidRPr="00740AE6" w:rsidRDefault="00F74A65" w:rsidP="00F74A65">
            <w:pPr>
              <w:widowControl/>
              <w:autoSpaceDE/>
              <w:autoSpaceDN/>
              <w:jc w:val="right"/>
              <w:rPr>
                <w:rFonts w:eastAsia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-5,300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B3C8844" w14:textId="207DF8A1" w:rsidR="00F74A65" w:rsidRPr="00740AE6" w:rsidRDefault="00F74A65" w:rsidP="00F74A65">
            <w:pPr>
              <w:widowControl/>
              <w:autoSpaceDE/>
              <w:autoSpaceDN/>
              <w:jc w:val="right"/>
              <w:rPr>
                <w:rFonts w:eastAsia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35,800</w:t>
            </w:r>
          </w:p>
        </w:tc>
      </w:tr>
      <w:tr w:rsidR="00F74A65" w:rsidRPr="00740AE6" w14:paraId="0B91A2C4" w14:textId="77777777" w:rsidTr="00F46BD8">
        <w:trPr>
          <w:trHeight w:val="300"/>
          <w:jc w:val="center"/>
        </w:trPr>
        <w:tc>
          <w:tcPr>
            <w:tcW w:w="585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8FF2F44" w14:textId="77777777" w:rsidR="00F74A65" w:rsidRPr="00CB27C0" w:rsidRDefault="00F74A65" w:rsidP="00F74A65">
            <w:pPr>
              <w:widowControl/>
              <w:autoSpaceDE/>
              <w:autoSpaceDN/>
              <w:ind w:firstLineChars="100" w:firstLine="180"/>
              <w:rPr>
                <w:rFonts w:eastAsia="Times New Roman"/>
                <w:color w:val="000000"/>
                <w:sz w:val="18"/>
                <w:szCs w:val="18"/>
              </w:rPr>
            </w:pPr>
            <w:r w:rsidRPr="00CB27C0">
              <w:rPr>
                <w:rFonts w:eastAsia="Times New Roman"/>
                <w:color w:val="000000"/>
                <w:sz w:val="18"/>
                <w:szCs w:val="18"/>
              </w:rPr>
              <w:t>Mining &amp; Logging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0C5003F" w14:textId="7B2BE5A8" w:rsidR="00F74A65" w:rsidRPr="00740AE6" w:rsidRDefault="00F74A65" w:rsidP="00F74A65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0A741BC" w14:textId="19AE869E" w:rsidR="00F74A65" w:rsidRPr="00740AE6" w:rsidRDefault="00F74A65" w:rsidP="00F74A65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-100</w:t>
            </w:r>
          </w:p>
        </w:tc>
      </w:tr>
      <w:tr w:rsidR="00F74A65" w:rsidRPr="00740AE6" w14:paraId="47995E6D" w14:textId="77777777" w:rsidTr="00F46BD8">
        <w:trPr>
          <w:trHeight w:val="300"/>
          <w:jc w:val="center"/>
        </w:trPr>
        <w:tc>
          <w:tcPr>
            <w:tcW w:w="585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D1DE808" w14:textId="77777777" w:rsidR="00F74A65" w:rsidRPr="00CB27C0" w:rsidRDefault="00F74A65" w:rsidP="00F74A65">
            <w:pPr>
              <w:widowControl/>
              <w:autoSpaceDE/>
              <w:autoSpaceDN/>
              <w:ind w:firstLineChars="100" w:firstLine="180"/>
              <w:rPr>
                <w:rFonts w:eastAsia="Times New Roman"/>
                <w:color w:val="000000"/>
                <w:sz w:val="18"/>
                <w:szCs w:val="18"/>
              </w:rPr>
            </w:pPr>
            <w:r w:rsidRPr="00CB27C0">
              <w:rPr>
                <w:rFonts w:eastAsia="Times New Roman"/>
                <w:color w:val="000000"/>
                <w:sz w:val="18"/>
                <w:szCs w:val="18"/>
              </w:rPr>
              <w:t>Construction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F5B68E7" w14:textId="5C9D01E5" w:rsidR="00F74A65" w:rsidRPr="00740AE6" w:rsidRDefault="00F74A65" w:rsidP="00F74A65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2,000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0D43245" w14:textId="5FF39A45" w:rsidR="00F74A65" w:rsidRPr="00740AE6" w:rsidRDefault="00F74A65" w:rsidP="00F74A65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-9,400</w:t>
            </w:r>
          </w:p>
        </w:tc>
      </w:tr>
      <w:tr w:rsidR="00F74A65" w:rsidRPr="00740AE6" w14:paraId="10A26873" w14:textId="77777777" w:rsidTr="00F46BD8">
        <w:trPr>
          <w:trHeight w:val="300"/>
          <w:jc w:val="center"/>
        </w:trPr>
        <w:tc>
          <w:tcPr>
            <w:tcW w:w="585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1C861DF" w14:textId="77777777" w:rsidR="00F74A65" w:rsidRPr="00CB27C0" w:rsidRDefault="00F74A65" w:rsidP="00F74A65">
            <w:pPr>
              <w:widowControl/>
              <w:autoSpaceDE/>
              <w:autoSpaceDN/>
              <w:ind w:firstLineChars="100" w:firstLine="180"/>
              <w:rPr>
                <w:rFonts w:eastAsia="Times New Roman"/>
                <w:color w:val="000000"/>
                <w:sz w:val="18"/>
                <w:szCs w:val="18"/>
              </w:rPr>
            </w:pPr>
            <w:r w:rsidRPr="00CB27C0">
              <w:rPr>
                <w:rFonts w:eastAsia="Times New Roman"/>
                <w:color w:val="000000"/>
                <w:sz w:val="18"/>
                <w:szCs w:val="18"/>
              </w:rPr>
              <w:t>Manufacturing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F5FA5E4" w14:textId="79DA02A1" w:rsidR="00F74A65" w:rsidRPr="00740AE6" w:rsidRDefault="00F74A65" w:rsidP="00F74A65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-800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36BFBA9" w14:textId="17996F05" w:rsidR="00F74A65" w:rsidRPr="00740AE6" w:rsidRDefault="00F74A65" w:rsidP="00F74A65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-14,800</w:t>
            </w:r>
          </w:p>
        </w:tc>
      </w:tr>
      <w:tr w:rsidR="00F74A65" w:rsidRPr="00740AE6" w14:paraId="0C7F8150" w14:textId="77777777" w:rsidTr="00F46BD8">
        <w:trPr>
          <w:trHeight w:val="300"/>
          <w:jc w:val="center"/>
        </w:trPr>
        <w:tc>
          <w:tcPr>
            <w:tcW w:w="585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18DC68A" w14:textId="77777777" w:rsidR="00F74A65" w:rsidRPr="00CB27C0" w:rsidRDefault="00F74A65" w:rsidP="00F74A65">
            <w:pPr>
              <w:widowControl/>
              <w:autoSpaceDE/>
              <w:autoSpaceDN/>
              <w:ind w:firstLineChars="100" w:firstLine="180"/>
              <w:rPr>
                <w:rFonts w:eastAsia="Times New Roman"/>
                <w:color w:val="000000"/>
                <w:sz w:val="18"/>
                <w:szCs w:val="18"/>
              </w:rPr>
            </w:pPr>
            <w:r w:rsidRPr="00CB27C0">
              <w:rPr>
                <w:rFonts w:eastAsia="Times New Roman"/>
                <w:color w:val="000000"/>
                <w:sz w:val="18"/>
                <w:szCs w:val="18"/>
              </w:rPr>
              <w:t>Wholesale Trade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7066FE6" w14:textId="0E7D9127" w:rsidR="00F74A65" w:rsidRPr="00740AE6" w:rsidRDefault="00F74A65" w:rsidP="00F74A65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-1,200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CFFCD9B" w14:textId="76641562" w:rsidR="00F74A65" w:rsidRPr="00740AE6" w:rsidRDefault="00F74A65" w:rsidP="00F74A65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-1,900</w:t>
            </w:r>
          </w:p>
        </w:tc>
      </w:tr>
      <w:tr w:rsidR="00F74A65" w:rsidRPr="00740AE6" w14:paraId="56BBE86B" w14:textId="77777777" w:rsidTr="00F46BD8">
        <w:trPr>
          <w:trHeight w:val="300"/>
          <w:jc w:val="center"/>
        </w:trPr>
        <w:tc>
          <w:tcPr>
            <w:tcW w:w="585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29090EA" w14:textId="77777777" w:rsidR="00F74A65" w:rsidRPr="00CB27C0" w:rsidRDefault="00F74A65" w:rsidP="00F74A65">
            <w:pPr>
              <w:widowControl/>
              <w:autoSpaceDE/>
              <w:autoSpaceDN/>
              <w:ind w:firstLineChars="100" w:firstLine="180"/>
              <w:rPr>
                <w:rFonts w:eastAsia="Times New Roman"/>
                <w:color w:val="000000"/>
                <w:sz w:val="18"/>
                <w:szCs w:val="18"/>
              </w:rPr>
            </w:pPr>
            <w:r w:rsidRPr="00CB27C0">
              <w:rPr>
                <w:rFonts w:eastAsia="Times New Roman"/>
                <w:color w:val="000000"/>
                <w:sz w:val="18"/>
                <w:szCs w:val="18"/>
              </w:rPr>
              <w:t>Retail Trade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F1412FC" w14:textId="1446CC22" w:rsidR="00F74A65" w:rsidRPr="00740AE6" w:rsidRDefault="00F74A65" w:rsidP="00F74A65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2,700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0292D4E" w14:textId="7AB22DC5" w:rsidR="00F74A65" w:rsidRPr="00740AE6" w:rsidRDefault="00F74A65" w:rsidP="00F74A65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3,100</w:t>
            </w:r>
          </w:p>
        </w:tc>
      </w:tr>
      <w:tr w:rsidR="00F74A65" w:rsidRPr="00740AE6" w14:paraId="0C3ADC46" w14:textId="77777777" w:rsidTr="00F46BD8">
        <w:trPr>
          <w:trHeight w:val="300"/>
          <w:jc w:val="center"/>
        </w:trPr>
        <w:tc>
          <w:tcPr>
            <w:tcW w:w="585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1D03DF9" w14:textId="77777777" w:rsidR="00F74A65" w:rsidRPr="00CB27C0" w:rsidRDefault="00F74A65" w:rsidP="00F74A65">
            <w:pPr>
              <w:widowControl/>
              <w:autoSpaceDE/>
              <w:autoSpaceDN/>
              <w:ind w:firstLineChars="100" w:firstLine="180"/>
              <w:rPr>
                <w:rFonts w:eastAsia="Times New Roman"/>
                <w:color w:val="000000"/>
                <w:sz w:val="18"/>
                <w:szCs w:val="18"/>
              </w:rPr>
            </w:pPr>
            <w:r w:rsidRPr="00CB27C0">
              <w:rPr>
                <w:rFonts w:eastAsia="Times New Roman"/>
                <w:color w:val="000000"/>
                <w:sz w:val="18"/>
                <w:szCs w:val="18"/>
              </w:rPr>
              <w:t>Transportation, Warehousing &amp; Utilities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CE6188E" w14:textId="3A48A20B" w:rsidR="00F74A65" w:rsidRPr="00740AE6" w:rsidRDefault="00F74A65" w:rsidP="00F74A65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-900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248C1AE" w14:textId="5511EDC0" w:rsidR="00F74A65" w:rsidRPr="00740AE6" w:rsidRDefault="00F74A65" w:rsidP="00F74A65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-5,400</w:t>
            </w:r>
          </w:p>
        </w:tc>
      </w:tr>
      <w:tr w:rsidR="00F74A65" w:rsidRPr="00740AE6" w14:paraId="0BD0B7DC" w14:textId="77777777" w:rsidTr="00F46BD8">
        <w:trPr>
          <w:trHeight w:val="300"/>
          <w:jc w:val="center"/>
        </w:trPr>
        <w:tc>
          <w:tcPr>
            <w:tcW w:w="585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921156A" w14:textId="77777777" w:rsidR="00F74A65" w:rsidRPr="00CB27C0" w:rsidRDefault="00F74A65" w:rsidP="00F74A65">
            <w:pPr>
              <w:widowControl/>
              <w:autoSpaceDE/>
              <w:autoSpaceDN/>
              <w:ind w:firstLineChars="100" w:firstLine="180"/>
              <w:rPr>
                <w:rFonts w:eastAsia="Times New Roman"/>
                <w:color w:val="000000"/>
                <w:sz w:val="18"/>
                <w:szCs w:val="18"/>
              </w:rPr>
            </w:pPr>
            <w:r w:rsidRPr="00CB27C0">
              <w:rPr>
                <w:rFonts w:eastAsia="Times New Roman"/>
                <w:color w:val="000000"/>
                <w:sz w:val="18"/>
                <w:szCs w:val="18"/>
              </w:rPr>
              <w:t>Information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53F4EE3" w14:textId="05017B54" w:rsidR="00F74A65" w:rsidRPr="00740AE6" w:rsidRDefault="00F74A65" w:rsidP="00F74A65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-2,300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8C229F7" w14:textId="7DEC288E" w:rsidR="00F74A65" w:rsidRPr="00740AE6" w:rsidRDefault="00F74A65" w:rsidP="00F74A65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-3,600</w:t>
            </w:r>
          </w:p>
        </w:tc>
      </w:tr>
      <w:tr w:rsidR="00F74A65" w:rsidRPr="00740AE6" w14:paraId="5B739820" w14:textId="77777777" w:rsidTr="00F46BD8">
        <w:trPr>
          <w:trHeight w:val="300"/>
          <w:jc w:val="center"/>
        </w:trPr>
        <w:tc>
          <w:tcPr>
            <w:tcW w:w="585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12A1F34" w14:textId="77777777" w:rsidR="00F74A65" w:rsidRPr="00CB27C0" w:rsidRDefault="00F74A65" w:rsidP="00F74A65">
            <w:pPr>
              <w:widowControl/>
              <w:autoSpaceDE/>
              <w:autoSpaceDN/>
              <w:ind w:firstLineChars="100" w:firstLine="180"/>
              <w:rPr>
                <w:rFonts w:eastAsia="Times New Roman"/>
                <w:color w:val="000000"/>
                <w:sz w:val="18"/>
                <w:szCs w:val="18"/>
              </w:rPr>
            </w:pPr>
            <w:r w:rsidRPr="00CB27C0">
              <w:rPr>
                <w:rFonts w:eastAsia="Times New Roman"/>
                <w:color w:val="000000"/>
                <w:sz w:val="18"/>
                <w:szCs w:val="18"/>
              </w:rPr>
              <w:t>Finance &amp; Insurance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7FBF525" w14:textId="1DD721A7" w:rsidR="00F74A65" w:rsidRPr="00740AE6" w:rsidRDefault="00F74A65" w:rsidP="00F74A65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-900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7F84B76" w14:textId="71B177B9" w:rsidR="00F74A65" w:rsidRPr="00740AE6" w:rsidRDefault="00F74A65" w:rsidP="00F74A65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-1,900</w:t>
            </w:r>
          </w:p>
        </w:tc>
      </w:tr>
      <w:tr w:rsidR="00F74A65" w:rsidRPr="00740AE6" w14:paraId="3763B4E6" w14:textId="77777777" w:rsidTr="00F46BD8">
        <w:trPr>
          <w:trHeight w:val="300"/>
          <w:jc w:val="center"/>
        </w:trPr>
        <w:tc>
          <w:tcPr>
            <w:tcW w:w="585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C9FEE8B" w14:textId="77777777" w:rsidR="00F74A65" w:rsidRPr="00CB27C0" w:rsidRDefault="00F74A65" w:rsidP="00F74A65">
            <w:pPr>
              <w:widowControl/>
              <w:autoSpaceDE/>
              <w:autoSpaceDN/>
              <w:ind w:firstLineChars="100" w:firstLine="180"/>
              <w:rPr>
                <w:rFonts w:eastAsia="Times New Roman"/>
                <w:color w:val="000000"/>
                <w:sz w:val="18"/>
                <w:szCs w:val="18"/>
              </w:rPr>
            </w:pPr>
            <w:r w:rsidRPr="00CB27C0">
              <w:rPr>
                <w:rFonts w:eastAsia="Times New Roman"/>
                <w:color w:val="000000"/>
                <w:sz w:val="18"/>
                <w:szCs w:val="18"/>
              </w:rPr>
              <w:t>Real Estate &amp; Rental &amp; Leasing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E8F526B" w14:textId="14A3A7EF" w:rsidR="00F74A65" w:rsidRPr="00740AE6" w:rsidRDefault="00F74A65" w:rsidP="00F74A65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2,200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B599986" w14:textId="512776FA" w:rsidR="00F74A65" w:rsidRPr="00740AE6" w:rsidRDefault="00F74A65" w:rsidP="00F74A65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900</w:t>
            </w:r>
          </w:p>
        </w:tc>
      </w:tr>
      <w:tr w:rsidR="00F74A65" w:rsidRPr="00740AE6" w14:paraId="244039DB" w14:textId="77777777" w:rsidTr="00F46BD8">
        <w:trPr>
          <w:trHeight w:val="300"/>
          <w:jc w:val="center"/>
        </w:trPr>
        <w:tc>
          <w:tcPr>
            <w:tcW w:w="585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71FA1EB" w14:textId="77777777" w:rsidR="00F74A65" w:rsidRPr="00CB27C0" w:rsidRDefault="00F74A65" w:rsidP="00F74A65">
            <w:pPr>
              <w:widowControl/>
              <w:autoSpaceDE/>
              <w:autoSpaceDN/>
              <w:ind w:firstLineChars="100" w:firstLine="180"/>
              <w:rPr>
                <w:rFonts w:eastAsia="Times New Roman"/>
                <w:color w:val="000000"/>
                <w:sz w:val="18"/>
                <w:szCs w:val="18"/>
              </w:rPr>
            </w:pPr>
            <w:r w:rsidRPr="00CB27C0">
              <w:rPr>
                <w:rFonts w:eastAsia="Times New Roman"/>
                <w:color w:val="000000"/>
                <w:sz w:val="18"/>
                <w:szCs w:val="18"/>
              </w:rPr>
              <w:t>Professional, Scientific &amp; Technical Services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39356FC" w14:textId="5A4CA536" w:rsidR="00F74A65" w:rsidRPr="00740AE6" w:rsidRDefault="00F74A65" w:rsidP="00F74A65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-1,900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67CFE9B" w14:textId="238CFF0B" w:rsidR="00F74A65" w:rsidRPr="00740AE6" w:rsidRDefault="00F74A65" w:rsidP="00F74A65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16,700</w:t>
            </w:r>
          </w:p>
        </w:tc>
      </w:tr>
      <w:tr w:rsidR="00F74A65" w:rsidRPr="00740AE6" w14:paraId="5C1899AF" w14:textId="77777777" w:rsidTr="00F46BD8">
        <w:trPr>
          <w:trHeight w:val="300"/>
          <w:jc w:val="center"/>
        </w:trPr>
        <w:tc>
          <w:tcPr>
            <w:tcW w:w="585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EF84D37" w14:textId="77777777" w:rsidR="00F74A65" w:rsidRPr="00CB27C0" w:rsidRDefault="00F74A65" w:rsidP="00F74A65">
            <w:pPr>
              <w:widowControl/>
              <w:autoSpaceDE/>
              <w:autoSpaceDN/>
              <w:ind w:firstLineChars="100" w:firstLine="180"/>
              <w:rPr>
                <w:rFonts w:eastAsia="Times New Roman"/>
                <w:color w:val="000000"/>
                <w:sz w:val="18"/>
                <w:szCs w:val="18"/>
              </w:rPr>
            </w:pPr>
            <w:r w:rsidRPr="00CB27C0">
              <w:rPr>
                <w:rFonts w:eastAsia="Times New Roman"/>
                <w:color w:val="000000"/>
                <w:sz w:val="18"/>
                <w:szCs w:val="18"/>
              </w:rPr>
              <w:t>Management of Companies &amp; Enterprises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6B71BD6" w14:textId="5393BEDA" w:rsidR="00F74A65" w:rsidRPr="00740AE6" w:rsidRDefault="00F74A65" w:rsidP="00F74A65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-200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9B3A6F3" w14:textId="3295932E" w:rsidR="00F74A65" w:rsidRPr="00740AE6" w:rsidRDefault="00F74A65" w:rsidP="00F74A65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-3,700</w:t>
            </w:r>
          </w:p>
        </w:tc>
      </w:tr>
      <w:tr w:rsidR="00F74A65" w:rsidRPr="00740AE6" w14:paraId="7362A375" w14:textId="77777777" w:rsidTr="00F46BD8">
        <w:trPr>
          <w:trHeight w:val="300"/>
          <w:jc w:val="center"/>
        </w:trPr>
        <w:tc>
          <w:tcPr>
            <w:tcW w:w="585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6CCAD82" w14:textId="77777777" w:rsidR="00F74A65" w:rsidRPr="00CB27C0" w:rsidRDefault="00F74A65" w:rsidP="00F74A65">
            <w:pPr>
              <w:widowControl/>
              <w:autoSpaceDE/>
              <w:autoSpaceDN/>
              <w:ind w:firstLineChars="100" w:firstLine="180"/>
              <w:rPr>
                <w:rFonts w:eastAsia="Times New Roman"/>
                <w:color w:val="000000"/>
                <w:sz w:val="18"/>
                <w:szCs w:val="18"/>
              </w:rPr>
            </w:pPr>
            <w:r w:rsidRPr="00CB27C0">
              <w:rPr>
                <w:rFonts w:eastAsia="Times New Roman"/>
                <w:color w:val="000000"/>
                <w:sz w:val="18"/>
                <w:szCs w:val="18"/>
              </w:rPr>
              <w:t>Administrative &amp; Support &amp; Waste Management &amp; Remediation Services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5293362" w14:textId="31F21E77" w:rsidR="00F74A65" w:rsidRPr="00740AE6" w:rsidRDefault="00F74A65" w:rsidP="00F74A65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-1,300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8A52AAA" w14:textId="596C47DE" w:rsidR="00F74A65" w:rsidRPr="00740AE6" w:rsidRDefault="00F74A65" w:rsidP="00F74A65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-2,900</w:t>
            </w:r>
          </w:p>
        </w:tc>
      </w:tr>
      <w:tr w:rsidR="00F74A65" w:rsidRPr="00740AE6" w14:paraId="0E230CC5" w14:textId="77777777" w:rsidTr="00F46BD8">
        <w:trPr>
          <w:trHeight w:val="300"/>
          <w:jc w:val="center"/>
        </w:trPr>
        <w:tc>
          <w:tcPr>
            <w:tcW w:w="585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A25A855" w14:textId="77777777" w:rsidR="00F74A65" w:rsidRPr="00CB27C0" w:rsidRDefault="00F74A65" w:rsidP="00F74A65">
            <w:pPr>
              <w:widowControl/>
              <w:autoSpaceDE/>
              <w:autoSpaceDN/>
              <w:ind w:firstLineChars="100" w:firstLine="180"/>
              <w:rPr>
                <w:rFonts w:eastAsia="Times New Roman"/>
                <w:color w:val="000000"/>
                <w:sz w:val="18"/>
                <w:szCs w:val="18"/>
              </w:rPr>
            </w:pPr>
            <w:r w:rsidRPr="00CB27C0">
              <w:rPr>
                <w:rFonts w:eastAsia="Times New Roman"/>
                <w:color w:val="000000"/>
                <w:sz w:val="18"/>
                <w:szCs w:val="18"/>
              </w:rPr>
              <w:t>Private Educational Services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1B77CDB" w14:textId="773B3E9B" w:rsidR="00F74A65" w:rsidRPr="00740AE6" w:rsidRDefault="00F74A65" w:rsidP="00F74A65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-1,600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73D84F8" w14:textId="758823D1" w:rsidR="00F74A65" w:rsidRPr="00740AE6" w:rsidRDefault="00F74A65" w:rsidP="00F74A65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8,600</w:t>
            </w:r>
          </w:p>
        </w:tc>
      </w:tr>
      <w:tr w:rsidR="00F74A65" w:rsidRPr="00740AE6" w14:paraId="4135B064" w14:textId="77777777" w:rsidTr="00F46BD8">
        <w:trPr>
          <w:trHeight w:val="300"/>
          <w:jc w:val="center"/>
        </w:trPr>
        <w:tc>
          <w:tcPr>
            <w:tcW w:w="585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1AD908B" w14:textId="77777777" w:rsidR="00F74A65" w:rsidRPr="00CB27C0" w:rsidRDefault="00F74A65" w:rsidP="00F74A65">
            <w:pPr>
              <w:widowControl/>
              <w:autoSpaceDE/>
              <w:autoSpaceDN/>
              <w:ind w:firstLineChars="100" w:firstLine="180"/>
              <w:rPr>
                <w:rFonts w:eastAsia="Times New Roman"/>
                <w:color w:val="000000"/>
                <w:sz w:val="18"/>
                <w:szCs w:val="18"/>
              </w:rPr>
            </w:pPr>
            <w:r w:rsidRPr="00CB27C0">
              <w:rPr>
                <w:rFonts w:eastAsia="Times New Roman"/>
                <w:color w:val="000000"/>
                <w:sz w:val="18"/>
                <w:szCs w:val="18"/>
              </w:rPr>
              <w:t>Arts, Entertainment &amp; Recreation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A8F206E" w14:textId="70ED5887" w:rsidR="00F74A65" w:rsidRPr="00740AE6" w:rsidRDefault="00F74A65" w:rsidP="00F74A65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1,800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FDBE038" w14:textId="712E8148" w:rsidR="00F74A65" w:rsidRPr="00740AE6" w:rsidRDefault="00F74A65" w:rsidP="00F74A65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7,600</w:t>
            </w:r>
          </w:p>
        </w:tc>
      </w:tr>
      <w:tr w:rsidR="00F74A65" w:rsidRPr="00740AE6" w14:paraId="7FCBCABB" w14:textId="77777777" w:rsidTr="00F46BD8">
        <w:trPr>
          <w:trHeight w:val="300"/>
          <w:jc w:val="center"/>
        </w:trPr>
        <w:tc>
          <w:tcPr>
            <w:tcW w:w="585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3BCC352" w14:textId="77777777" w:rsidR="00F74A65" w:rsidRPr="00CB27C0" w:rsidRDefault="00F74A65" w:rsidP="00F74A65">
            <w:pPr>
              <w:widowControl/>
              <w:autoSpaceDE/>
              <w:autoSpaceDN/>
              <w:ind w:firstLineChars="100" w:firstLine="180"/>
              <w:rPr>
                <w:rFonts w:eastAsia="Times New Roman"/>
                <w:color w:val="000000"/>
                <w:sz w:val="18"/>
                <w:szCs w:val="18"/>
              </w:rPr>
            </w:pPr>
            <w:r w:rsidRPr="00CB27C0">
              <w:rPr>
                <w:rFonts w:eastAsia="Times New Roman"/>
                <w:color w:val="000000"/>
                <w:sz w:val="18"/>
                <w:szCs w:val="18"/>
              </w:rPr>
              <w:lastRenderedPageBreak/>
              <w:t>Accommodation &amp; Food Services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B9DF635" w14:textId="69704924" w:rsidR="00F74A65" w:rsidRPr="00740AE6" w:rsidRDefault="00F74A65" w:rsidP="00F74A65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-1,900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5FB2BCB" w14:textId="4CA57972" w:rsidR="00F74A65" w:rsidRPr="00740AE6" w:rsidRDefault="00F74A65" w:rsidP="00F74A65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28,800</w:t>
            </w:r>
          </w:p>
        </w:tc>
      </w:tr>
      <w:tr w:rsidR="00F74A65" w:rsidRPr="00740AE6" w14:paraId="6C0672BE" w14:textId="77777777" w:rsidTr="00F46BD8">
        <w:trPr>
          <w:trHeight w:val="315"/>
          <w:jc w:val="center"/>
        </w:trPr>
        <w:tc>
          <w:tcPr>
            <w:tcW w:w="5850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482D6CC8" w14:textId="77777777" w:rsidR="00F74A65" w:rsidRPr="00CB27C0" w:rsidRDefault="00F74A65" w:rsidP="00F74A65">
            <w:pPr>
              <w:widowControl/>
              <w:autoSpaceDE/>
              <w:autoSpaceDN/>
              <w:ind w:firstLineChars="100" w:firstLine="180"/>
              <w:rPr>
                <w:rFonts w:eastAsia="Times New Roman"/>
                <w:color w:val="000000"/>
                <w:sz w:val="18"/>
                <w:szCs w:val="18"/>
              </w:rPr>
            </w:pPr>
            <w:r w:rsidRPr="00CB27C0">
              <w:rPr>
                <w:rFonts w:eastAsia="Times New Roman"/>
                <w:color w:val="000000"/>
                <w:sz w:val="18"/>
                <w:szCs w:val="18"/>
              </w:rPr>
              <w:t>Other Services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11B31072" w14:textId="089FA189" w:rsidR="00F74A65" w:rsidRPr="00740AE6" w:rsidRDefault="00F74A65" w:rsidP="00F74A65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-1,000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1D8AAC73" w14:textId="22D554CA" w:rsidR="00F74A65" w:rsidRPr="00740AE6" w:rsidRDefault="00F74A65" w:rsidP="00F74A65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13,800</w:t>
            </w:r>
          </w:p>
        </w:tc>
      </w:tr>
    </w:tbl>
    <w:p w14:paraId="3B205D8E" w14:textId="77777777" w:rsidR="004764FD" w:rsidRDefault="004764FD" w:rsidP="00CF42EE">
      <w:pPr>
        <w:spacing w:before="161"/>
        <w:ind w:left="100"/>
        <w:rPr>
          <w:bCs/>
        </w:rPr>
      </w:pPr>
    </w:p>
    <w:p w14:paraId="1707032B" w14:textId="7B1D4D53" w:rsidR="00CF42EE" w:rsidRDefault="00CF42EE" w:rsidP="00CF42EE">
      <w:pPr>
        <w:spacing w:before="161"/>
        <w:ind w:left="100"/>
        <w:rPr>
          <w:b/>
          <w:sz w:val="20"/>
          <w:szCs w:val="20"/>
        </w:rPr>
      </w:pPr>
      <w:r>
        <w:rPr>
          <w:b/>
          <w:sz w:val="28"/>
        </w:rPr>
        <w:t>California Labor Force</w:t>
      </w:r>
    </w:p>
    <w:p w14:paraId="03113642" w14:textId="77777777" w:rsidR="00CF42EE" w:rsidRDefault="00CF42EE" w:rsidP="00CF42EE">
      <w:pPr>
        <w:spacing w:before="161"/>
        <w:ind w:left="100"/>
        <w:rPr>
          <w:b/>
          <w:sz w:val="20"/>
          <w:szCs w:val="20"/>
        </w:rPr>
      </w:pPr>
    </w:p>
    <w:tbl>
      <w:tblPr>
        <w:tblW w:w="6258" w:type="dxa"/>
        <w:jc w:val="center"/>
        <w:tblLook w:val="04A0" w:firstRow="1" w:lastRow="0" w:firstColumn="1" w:lastColumn="0" w:noHBand="0" w:noVBand="1"/>
      </w:tblPr>
      <w:tblGrid>
        <w:gridCol w:w="1960"/>
        <w:gridCol w:w="1127"/>
        <w:gridCol w:w="840"/>
        <w:gridCol w:w="262"/>
        <w:gridCol w:w="1229"/>
        <w:gridCol w:w="840"/>
      </w:tblGrid>
      <w:tr w:rsidR="00CF42EE" w:rsidRPr="0023248A" w14:paraId="0D84489C" w14:textId="77777777" w:rsidTr="00F02E8D">
        <w:trPr>
          <w:trHeight w:val="289"/>
          <w:jc w:val="center"/>
        </w:trPr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000000" w:fill="0F243E"/>
            <w:vAlign w:val="center"/>
            <w:hideMark/>
          </w:tcPr>
          <w:p w14:paraId="465B26D7" w14:textId="77777777" w:rsidR="00CF42EE" w:rsidRPr="0023248A" w:rsidRDefault="00CF42EE" w:rsidP="00F02E8D">
            <w:pPr>
              <w:rPr>
                <w:rFonts w:eastAsia="Times New Roman"/>
                <w:b/>
                <w:bCs/>
                <w:color w:val="FFFFFF"/>
                <w:sz w:val="18"/>
                <w:szCs w:val="18"/>
              </w:rPr>
            </w:pPr>
            <w:r w:rsidRPr="0023248A">
              <w:rPr>
                <w:rFonts w:eastAsia="Times New Roman"/>
                <w:b/>
                <w:bCs/>
                <w:color w:val="FFFFFF"/>
                <w:sz w:val="18"/>
                <w:szCs w:val="18"/>
              </w:rPr>
              <w:t>Seasonally Adjusted</w:t>
            </w:r>
          </w:p>
        </w:tc>
        <w:tc>
          <w:tcPr>
            <w:tcW w:w="1127" w:type="dxa"/>
            <w:tcBorders>
              <w:top w:val="nil"/>
              <w:left w:val="nil"/>
              <w:bottom w:val="nil"/>
              <w:right w:val="nil"/>
            </w:tcBorders>
            <w:shd w:val="clear" w:color="000000" w:fill="0F243E"/>
            <w:vAlign w:val="center"/>
            <w:hideMark/>
          </w:tcPr>
          <w:p w14:paraId="31EDEE09" w14:textId="77777777" w:rsidR="00CF42EE" w:rsidRPr="0023248A" w:rsidRDefault="00CF42EE" w:rsidP="00F02E8D">
            <w:pPr>
              <w:jc w:val="center"/>
              <w:rPr>
                <w:rFonts w:eastAsia="Times New Roman"/>
                <w:b/>
                <w:bCs/>
                <w:color w:val="FFFFFF"/>
                <w:sz w:val="18"/>
                <w:szCs w:val="18"/>
              </w:rPr>
            </w:pPr>
            <w:r w:rsidRPr="0023248A">
              <w:rPr>
                <w:rFonts w:eastAsia="Times New Roman"/>
                <w:b/>
                <w:bCs/>
                <w:color w:val="FFFFFF"/>
                <w:sz w:val="18"/>
                <w:szCs w:val="18"/>
              </w:rPr>
              <w:t>California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000000" w:fill="0F243E"/>
            <w:vAlign w:val="center"/>
            <w:hideMark/>
          </w:tcPr>
          <w:p w14:paraId="0FD19747" w14:textId="77777777" w:rsidR="00CF42EE" w:rsidRPr="0023248A" w:rsidRDefault="00CF42EE" w:rsidP="00F02E8D">
            <w:pPr>
              <w:jc w:val="center"/>
              <w:rPr>
                <w:rFonts w:eastAsia="Times New Roman"/>
                <w:b/>
                <w:bCs/>
                <w:color w:val="FFFFFF"/>
                <w:sz w:val="18"/>
                <w:szCs w:val="18"/>
              </w:rPr>
            </w:pPr>
            <w:r w:rsidRPr="0023248A">
              <w:rPr>
                <w:rFonts w:eastAsia="Times New Roman"/>
                <w:b/>
                <w:bCs/>
                <w:color w:val="FFFFFF"/>
                <w:sz w:val="18"/>
                <w:szCs w:val="18"/>
              </w:rPr>
              <w:t> </w:t>
            </w:r>
          </w:p>
        </w:tc>
        <w:tc>
          <w:tcPr>
            <w:tcW w:w="262" w:type="dxa"/>
            <w:tcBorders>
              <w:top w:val="nil"/>
              <w:left w:val="nil"/>
              <w:bottom w:val="nil"/>
              <w:right w:val="nil"/>
            </w:tcBorders>
            <w:shd w:val="clear" w:color="000000" w:fill="0F243E"/>
            <w:vAlign w:val="center"/>
            <w:hideMark/>
          </w:tcPr>
          <w:p w14:paraId="76A5479F" w14:textId="77777777" w:rsidR="00CF42EE" w:rsidRPr="0023248A" w:rsidRDefault="00CF42EE" w:rsidP="00F02E8D">
            <w:pPr>
              <w:jc w:val="center"/>
              <w:rPr>
                <w:rFonts w:eastAsia="Times New Roman"/>
                <w:b/>
                <w:bCs/>
                <w:color w:val="FFFFFF"/>
                <w:sz w:val="18"/>
                <w:szCs w:val="18"/>
              </w:rPr>
            </w:pPr>
            <w:r w:rsidRPr="0023248A">
              <w:rPr>
                <w:rFonts w:eastAsia="Times New Roman"/>
                <w:b/>
                <w:bCs/>
                <w:color w:val="FFFFFF"/>
                <w:sz w:val="18"/>
                <w:szCs w:val="18"/>
              </w:rPr>
              <w:t> </w:t>
            </w:r>
          </w:p>
        </w:tc>
        <w:tc>
          <w:tcPr>
            <w:tcW w:w="1229" w:type="dxa"/>
            <w:tcBorders>
              <w:top w:val="nil"/>
              <w:left w:val="nil"/>
              <w:bottom w:val="nil"/>
              <w:right w:val="nil"/>
            </w:tcBorders>
            <w:shd w:val="clear" w:color="000000" w:fill="0F243E"/>
            <w:vAlign w:val="center"/>
            <w:hideMark/>
          </w:tcPr>
          <w:p w14:paraId="3DB98DE1" w14:textId="77777777" w:rsidR="00CF42EE" w:rsidRPr="0023248A" w:rsidRDefault="00CF42EE" w:rsidP="00F02E8D">
            <w:pPr>
              <w:jc w:val="center"/>
              <w:rPr>
                <w:rFonts w:eastAsia="Times New Roman"/>
                <w:b/>
                <w:bCs/>
                <w:color w:val="FFFFFF"/>
                <w:sz w:val="18"/>
                <w:szCs w:val="18"/>
              </w:rPr>
            </w:pPr>
            <w:r w:rsidRPr="0023248A">
              <w:rPr>
                <w:rFonts w:eastAsia="Times New Roman"/>
                <w:b/>
                <w:bCs/>
                <w:color w:val="FFFFFF"/>
                <w:sz w:val="18"/>
                <w:szCs w:val="18"/>
              </w:rPr>
              <w:t>US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000000" w:fill="0F243E"/>
            <w:vAlign w:val="center"/>
            <w:hideMark/>
          </w:tcPr>
          <w:p w14:paraId="1284D8F7" w14:textId="77777777" w:rsidR="00CF42EE" w:rsidRPr="0023248A" w:rsidRDefault="00CF42EE" w:rsidP="00F02E8D">
            <w:pPr>
              <w:jc w:val="center"/>
              <w:rPr>
                <w:rFonts w:eastAsia="Times New Roman"/>
                <w:b/>
                <w:bCs/>
                <w:color w:val="FFFFFF"/>
                <w:sz w:val="18"/>
                <w:szCs w:val="18"/>
              </w:rPr>
            </w:pPr>
            <w:r w:rsidRPr="0023248A">
              <w:rPr>
                <w:rFonts w:eastAsia="Times New Roman"/>
                <w:b/>
                <w:bCs/>
                <w:color w:val="FFFFFF"/>
                <w:sz w:val="18"/>
                <w:szCs w:val="18"/>
              </w:rPr>
              <w:t> </w:t>
            </w:r>
          </w:p>
        </w:tc>
      </w:tr>
      <w:tr w:rsidR="00F74A65" w:rsidRPr="0023248A" w14:paraId="3D9B64B0" w14:textId="77777777" w:rsidTr="00F02E8D">
        <w:trPr>
          <w:trHeight w:val="360"/>
          <w:jc w:val="center"/>
        </w:trPr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6E24A16" w14:textId="3604DB35" w:rsidR="00F74A65" w:rsidRPr="0023248A" w:rsidRDefault="00F74A65" w:rsidP="00F74A65">
            <w:pPr>
              <w:rPr>
                <w:rFonts w:eastAsia="Times New Roman"/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12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240F76C" w14:textId="2E84C085" w:rsidR="00F74A65" w:rsidRPr="0023248A" w:rsidRDefault="00F74A65" w:rsidP="00F74A65">
            <w:pPr>
              <w:jc w:val="right"/>
              <w:rPr>
                <w:rFonts w:eastAsia="Times New Roman"/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Mar 2026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160C460" w14:textId="1AF9BFF7" w:rsidR="00F74A65" w:rsidRPr="0023248A" w:rsidRDefault="00F74A65" w:rsidP="00F74A65">
            <w:pPr>
              <w:jc w:val="right"/>
              <w:rPr>
                <w:rFonts w:eastAsia="Times New Roman"/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Change from Feb 2026</w:t>
            </w:r>
          </w:p>
        </w:tc>
        <w:tc>
          <w:tcPr>
            <w:tcW w:w="26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85A5E0F" w14:textId="70E65836" w:rsidR="00F74A65" w:rsidRPr="0023248A" w:rsidRDefault="00F74A65" w:rsidP="00F74A65">
            <w:pPr>
              <w:jc w:val="right"/>
              <w:rPr>
                <w:rFonts w:eastAsia="Times New Roman"/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22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DD72E5A" w14:textId="6FE1B3B9" w:rsidR="00F74A65" w:rsidRPr="0023248A" w:rsidRDefault="00F74A65" w:rsidP="00F74A65">
            <w:pPr>
              <w:jc w:val="right"/>
              <w:rPr>
                <w:rFonts w:eastAsia="Times New Roman"/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Mar 2026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31A28C9" w14:textId="077B9358" w:rsidR="00F74A65" w:rsidRPr="0023248A" w:rsidRDefault="00F74A65" w:rsidP="00F74A65">
            <w:pPr>
              <w:jc w:val="right"/>
              <w:rPr>
                <w:rFonts w:eastAsia="Times New Roman"/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Change from Feb 2026</w:t>
            </w:r>
          </w:p>
        </w:tc>
      </w:tr>
      <w:tr w:rsidR="00F74A65" w:rsidRPr="0023248A" w14:paraId="4F6FA85E" w14:textId="77777777" w:rsidTr="00F02E8D">
        <w:trPr>
          <w:trHeight w:val="255"/>
          <w:jc w:val="center"/>
        </w:trPr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D727A39" w14:textId="437F16A3" w:rsidR="00F74A65" w:rsidRPr="0023248A" w:rsidRDefault="00F74A65" w:rsidP="00F74A65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Unemployment Rate</w:t>
            </w:r>
          </w:p>
        </w:tc>
        <w:tc>
          <w:tcPr>
            <w:tcW w:w="112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BC79EB7" w14:textId="160C4ED6" w:rsidR="00F74A65" w:rsidRPr="0023248A" w:rsidRDefault="00F74A65" w:rsidP="00F74A65">
            <w:pPr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5.3%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420D3A8" w14:textId="37E158FD" w:rsidR="00F74A65" w:rsidRPr="00BB292D" w:rsidRDefault="00F74A65" w:rsidP="00F74A65">
            <w:pPr>
              <w:jc w:val="right"/>
              <w:rPr>
                <w:rFonts w:eastAsia="Times New Roman"/>
                <w:color w:val="FF0000"/>
                <w:sz w:val="20"/>
                <w:szCs w:val="20"/>
              </w:rPr>
            </w:pPr>
            <w:r>
              <w:rPr>
                <w:sz w:val="20"/>
                <w:szCs w:val="20"/>
              </w:rPr>
              <w:t>-0.1</w:t>
            </w:r>
          </w:p>
        </w:tc>
        <w:tc>
          <w:tcPr>
            <w:tcW w:w="26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A64B390" w14:textId="6B72866B" w:rsidR="00F74A65" w:rsidRPr="0023248A" w:rsidRDefault="00F74A65" w:rsidP="00F74A65">
            <w:pPr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2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4498BDB" w14:textId="27B9E66D" w:rsidR="00F74A65" w:rsidRPr="0023248A" w:rsidRDefault="00F74A65" w:rsidP="00F74A65">
            <w:pPr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4.3%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48723A8" w14:textId="52642FA5" w:rsidR="00F74A65" w:rsidRPr="00345F4C" w:rsidRDefault="00F74A65" w:rsidP="00F74A65">
            <w:pPr>
              <w:jc w:val="right"/>
              <w:rPr>
                <w:rFonts w:eastAsia="Times New Roman"/>
                <w:color w:val="FF0000"/>
                <w:sz w:val="20"/>
                <w:szCs w:val="20"/>
              </w:rPr>
            </w:pPr>
            <w:r>
              <w:rPr>
                <w:sz w:val="20"/>
                <w:szCs w:val="20"/>
              </w:rPr>
              <w:t>-0.1</w:t>
            </w:r>
          </w:p>
        </w:tc>
      </w:tr>
      <w:tr w:rsidR="00F74A65" w:rsidRPr="0023248A" w14:paraId="599FB4EB" w14:textId="77777777" w:rsidTr="00F02E8D">
        <w:trPr>
          <w:trHeight w:val="255"/>
          <w:jc w:val="center"/>
        </w:trPr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99AEACE" w14:textId="2A91A82E" w:rsidR="00F74A65" w:rsidRPr="0023248A" w:rsidRDefault="00F74A65" w:rsidP="00F74A65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Labor Force</w:t>
            </w:r>
          </w:p>
        </w:tc>
        <w:tc>
          <w:tcPr>
            <w:tcW w:w="112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72E8D59" w14:textId="451BAB86" w:rsidR="00F74A65" w:rsidRPr="0023248A" w:rsidRDefault="00F74A65" w:rsidP="00F74A65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19,709,900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FF13EC2" w14:textId="206BC195" w:rsidR="00F74A65" w:rsidRPr="00481731" w:rsidRDefault="00F74A65" w:rsidP="00F74A65">
            <w:pPr>
              <w:jc w:val="right"/>
              <w:rPr>
                <w:color w:val="000000"/>
                <w:sz w:val="20"/>
                <w:szCs w:val="20"/>
              </w:rPr>
            </w:pPr>
            <w:r w:rsidRPr="00F74A65">
              <w:rPr>
                <w:color w:val="EE0000"/>
                <w:sz w:val="20"/>
                <w:szCs w:val="20"/>
              </w:rPr>
              <w:t>-0.6%</w:t>
            </w:r>
          </w:p>
        </w:tc>
        <w:tc>
          <w:tcPr>
            <w:tcW w:w="26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50197DC" w14:textId="2E211BE6" w:rsidR="00F74A65" w:rsidRPr="0023248A" w:rsidRDefault="00F74A65" w:rsidP="00F74A65">
            <w:pPr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2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92B7E4D" w14:textId="4F597333" w:rsidR="00F74A65" w:rsidRPr="0023248A" w:rsidRDefault="00F74A65" w:rsidP="00F74A65">
            <w:pPr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170,087,000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49956B2" w14:textId="20829766" w:rsidR="00F74A65" w:rsidRPr="00F272AB" w:rsidRDefault="00F74A65" w:rsidP="00F74A65">
            <w:pPr>
              <w:jc w:val="right"/>
              <w:rPr>
                <w:rFonts w:eastAsia="Times New Roman"/>
                <w:color w:val="EE0000"/>
                <w:sz w:val="20"/>
                <w:szCs w:val="20"/>
              </w:rPr>
            </w:pPr>
            <w:r w:rsidRPr="00F74A65">
              <w:rPr>
                <w:color w:val="EE0000"/>
                <w:sz w:val="20"/>
                <w:szCs w:val="20"/>
              </w:rPr>
              <w:t>-0.2%</w:t>
            </w:r>
          </w:p>
        </w:tc>
      </w:tr>
      <w:tr w:rsidR="00F74A65" w:rsidRPr="0023248A" w14:paraId="6E729AFB" w14:textId="77777777" w:rsidTr="00DD2EB3">
        <w:trPr>
          <w:trHeight w:val="255"/>
          <w:jc w:val="center"/>
        </w:trPr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EEC756F" w14:textId="58F57F79" w:rsidR="00F74A65" w:rsidRPr="0023248A" w:rsidRDefault="00F74A65" w:rsidP="00F74A65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Participation Rate</w:t>
            </w:r>
          </w:p>
        </w:tc>
        <w:tc>
          <w:tcPr>
            <w:tcW w:w="112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306209E7" w14:textId="474795BA" w:rsidR="00F74A65" w:rsidRPr="0023248A" w:rsidRDefault="00F74A65" w:rsidP="00F74A65">
            <w:pPr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n/a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3C22AFF2" w14:textId="05948FCE" w:rsidR="00F74A65" w:rsidRPr="00BB292D" w:rsidRDefault="00F74A65" w:rsidP="00F74A65">
            <w:pPr>
              <w:jc w:val="right"/>
              <w:rPr>
                <w:rFonts w:eastAsia="Times New Roman"/>
                <w:color w:val="FF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n/a</w:t>
            </w:r>
          </w:p>
        </w:tc>
        <w:tc>
          <w:tcPr>
            <w:tcW w:w="26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9C4A644" w14:textId="37934E46" w:rsidR="00F74A65" w:rsidRPr="0023248A" w:rsidRDefault="00F74A65" w:rsidP="00F74A65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2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82B3FE4" w14:textId="7AFFACAC" w:rsidR="00F74A65" w:rsidRPr="0023248A" w:rsidRDefault="00F74A65" w:rsidP="00F74A65">
            <w:pPr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61.9%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E3EE8B8" w14:textId="605B82B4" w:rsidR="00F74A65" w:rsidRPr="00F272AB" w:rsidRDefault="00F74A65" w:rsidP="00F74A65">
            <w:pPr>
              <w:jc w:val="right"/>
              <w:rPr>
                <w:rFonts w:eastAsia="Times New Roman"/>
                <w:color w:val="EE0000"/>
                <w:sz w:val="20"/>
                <w:szCs w:val="20"/>
              </w:rPr>
            </w:pPr>
            <w:r w:rsidRPr="00F74A65">
              <w:rPr>
                <w:color w:val="EE0000"/>
                <w:sz w:val="20"/>
                <w:szCs w:val="20"/>
              </w:rPr>
              <w:t>-0.1</w:t>
            </w:r>
          </w:p>
        </w:tc>
      </w:tr>
      <w:tr w:rsidR="00F74A65" w:rsidRPr="0023248A" w14:paraId="6400930B" w14:textId="77777777" w:rsidTr="00040ADE">
        <w:trPr>
          <w:trHeight w:val="255"/>
          <w:jc w:val="center"/>
        </w:trPr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DB07B9B" w14:textId="16347911" w:rsidR="00F74A65" w:rsidRPr="0023248A" w:rsidRDefault="00F74A65" w:rsidP="00F74A65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Employment</w:t>
            </w:r>
          </w:p>
        </w:tc>
        <w:tc>
          <w:tcPr>
            <w:tcW w:w="112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682BCDB" w14:textId="185EAED7" w:rsidR="00F74A65" w:rsidRPr="00481731" w:rsidRDefault="00F74A65" w:rsidP="00F74A65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18,716,600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093E557" w14:textId="000943F8" w:rsidR="00F74A65" w:rsidRPr="00F74A65" w:rsidRDefault="00F74A65" w:rsidP="00F74A65">
            <w:pPr>
              <w:jc w:val="right"/>
              <w:rPr>
                <w:rFonts w:eastAsia="Times New Roman"/>
                <w:color w:val="EE0000"/>
                <w:sz w:val="20"/>
                <w:szCs w:val="20"/>
              </w:rPr>
            </w:pPr>
            <w:r w:rsidRPr="00F74A65">
              <w:rPr>
                <w:color w:val="EE0000"/>
                <w:sz w:val="20"/>
                <w:szCs w:val="20"/>
              </w:rPr>
              <w:t>-0.2%</w:t>
            </w:r>
          </w:p>
        </w:tc>
        <w:tc>
          <w:tcPr>
            <w:tcW w:w="26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4D214E5" w14:textId="3D8879B0" w:rsidR="00F74A65" w:rsidRPr="0023248A" w:rsidRDefault="00F74A65" w:rsidP="00F74A65">
            <w:pPr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2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A786A50" w14:textId="224E2620" w:rsidR="00F74A65" w:rsidRPr="0023248A" w:rsidRDefault="00F74A65" w:rsidP="00F74A65">
            <w:pPr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162,848,000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8933FBA" w14:textId="052E2A6E" w:rsidR="00F74A65" w:rsidRPr="003C6B48" w:rsidRDefault="00F74A65" w:rsidP="00F74A65">
            <w:pPr>
              <w:jc w:val="right"/>
              <w:rPr>
                <w:rFonts w:eastAsia="Times New Roman"/>
                <w:color w:val="EE0000"/>
                <w:sz w:val="20"/>
                <w:szCs w:val="20"/>
              </w:rPr>
            </w:pPr>
            <w:r w:rsidRPr="00F74A65">
              <w:rPr>
                <w:color w:val="EE0000"/>
                <w:sz w:val="20"/>
                <w:szCs w:val="20"/>
              </w:rPr>
              <w:t>0.0%</w:t>
            </w:r>
          </w:p>
        </w:tc>
      </w:tr>
      <w:tr w:rsidR="00F74A65" w:rsidRPr="0023248A" w14:paraId="79A6CD69" w14:textId="77777777" w:rsidTr="00040ADE">
        <w:trPr>
          <w:trHeight w:val="300"/>
          <w:jc w:val="center"/>
        </w:trPr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515E9FC" w14:textId="5BBF16F4" w:rsidR="00F74A65" w:rsidRPr="0023248A" w:rsidRDefault="00F74A65" w:rsidP="00F74A65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Unemployment</w:t>
            </w:r>
          </w:p>
        </w:tc>
        <w:tc>
          <w:tcPr>
            <w:tcW w:w="112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4BE2BFC" w14:textId="4773D608" w:rsidR="00F74A65" w:rsidRPr="00481731" w:rsidRDefault="00F74A65" w:rsidP="00F74A65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1,053,300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EAA284D" w14:textId="4BA6EDF5" w:rsidR="00F74A65" w:rsidRPr="00F272AB" w:rsidRDefault="00F74A65" w:rsidP="00F74A65">
            <w:pPr>
              <w:jc w:val="right"/>
              <w:rPr>
                <w:rFonts w:eastAsia="Times New Roman"/>
                <w:color w:val="EE0000"/>
                <w:sz w:val="20"/>
                <w:szCs w:val="20"/>
              </w:rPr>
            </w:pPr>
            <w:r>
              <w:rPr>
                <w:sz w:val="20"/>
                <w:szCs w:val="20"/>
              </w:rPr>
              <w:t>-1.6%</w:t>
            </w:r>
          </w:p>
        </w:tc>
        <w:tc>
          <w:tcPr>
            <w:tcW w:w="26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0D9164B" w14:textId="4F803F28" w:rsidR="00F74A65" w:rsidRPr="0023248A" w:rsidRDefault="00F74A65" w:rsidP="00F74A65">
            <w:pPr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2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339330F" w14:textId="56A58F4A" w:rsidR="00F74A65" w:rsidRPr="0023248A" w:rsidRDefault="00F74A65" w:rsidP="00F74A65">
            <w:pPr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7,239,000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4688AEF" w14:textId="74334011" w:rsidR="00F74A65" w:rsidRPr="003C6B48" w:rsidRDefault="00F74A65" w:rsidP="00F74A65">
            <w:pPr>
              <w:jc w:val="right"/>
              <w:rPr>
                <w:rFonts w:eastAsia="Times New Roman"/>
                <w:color w:val="EE0000"/>
                <w:sz w:val="20"/>
                <w:szCs w:val="20"/>
              </w:rPr>
            </w:pPr>
            <w:r>
              <w:rPr>
                <w:sz w:val="20"/>
                <w:szCs w:val="20"/>
              </w:rPr>
              <w:t>-4.4%</w:t>
            </w:r>
          </w:p>
        </w:tc>
      </w:tr>
    </w:tbl>
    <w:p w14:paraId="0F233D25" w14:textId="77777777" w:rsidR="00CF42EE" w:rsidRDefault="00CF42EE" w:rsidP="00CF42EE">
      <w:pPr>
        <w:spacing w:before="161"/>
        <w:ind w:left="100"/>
        <w:rPr>
          <w:b/>
          <w:sz w:val="20"/>
          <w:szCs w:val="20"/>
        </w:rPr>
      </w:pPr>
    </w:p>
    <w:p w14:paraId="5426D4DC" w14:textId="77777777" w:rsidR="00CF42EE" w:rsidRPr="009210A7" w:rsidRDefault="00CF42EE" w:rsidP="00CF42EE">
      <w:pPr>
        <w:spacing w:before="161"/>
        <w:ind w:left="100"/>
        <w:rPr>
          <w:b/>
          <w:sz w:val="20"/>
          <w:szCs w:val="20"/>
        </w:rPr>
      </w:pPr>
    </w:p>
    <w:tbl>
      <w:tblPr>
        <w:tblW w:w="0" w:type="auto"/>
        <w:tblInd w:w="99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160"/>
        <w:gridCol w:w="6204"/>
      </w:tblGrid>
      <w:tr w:rsidR="005D50FA" w14:paraId="3BED5476" w14:textId="77777777" w:rsidTr="00F02E8D">
        <w:trPr>
          <w:trHeight w:val="1295"/>
        </w:trPr>
        <w:tc>
          <w:tcPr>
            <w:tcW w:w="2160" w:type="dxa"/>
          </w:tcPr>
          <w:p w14:paraId="2DF852CC" w14:textId="2FC7D725" w:rsidR="005D50FA" w:rsidRPr="00720D67" w:rsidRDefault="005D50FA" w:rsidP="005D50FA">
            <w:pPr>
              <w:pStyle w:val="TableParagraph"/>
              <w:spacing w:line="763" w:lineRule="exact"/>
              <w:ind w:left="48" w:right="523"/>
              <w:jc w:val="center"/>
              <w:rPr>
                <w:b/>
                <w:color w:val="4F81BD" w:themeColor="accent1"/>
                <w:sz w:val="66"/>
              </w:rPr>
            </w:pPr>
            <w:r w:rsidRPr="00720D67">
              <w:rPr>
                <w:b/>
                <w:color w:val="4F81BD" w:themeColor="accent1"/>
                <w:spacing w:val="-4"/>
                <w:sz w:val="66"/>
              </w:rPr>
              <w:t>5.</w:t>
            </w:r>
            <w:r w:rsidR="00F74A65">
              <w:rPr>
                <w:b/>
                <w:color w:val="4F81BD" w:themeColor="accent1"/>
                <w:spacing w:val="-4"/>
                <w:sz w:val="66"/>
              </w:rPr>
              <w:t>3</w:t>
            </w:r>
            <w:r w:rsidRPr="00720D67">
              <w:rPr>
                <w:b/>
                <w:color w:val="4F81BD" w:themeColor="accent1"/>
                <w:spacing w:val="-4"/>
                <w:sz w:val="66"/>
              </w:rPr>
              <w:t>%</w:t>
            </w:r>
          </w:p>
          <w:p w14:paraId="2FCA178A" w14:textId="2A8D3A5F" w:rsidR="005D50FA" w:rsidRDefault="005D50FA" w:rsidP="005D50FA">
            <w:pPr>
              <w:pStyle w:val="TableParagraph"/>
              <w:spacing w:before="2"/>
              <w:ind w:left="0" w:right="523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CA Unemployment Rate</w:t>
            </w:r>
          </w:p>
        </w:tc>
        <w:tc>
          <w:tcPr>
            <w:tcW w:w="6204" w:type="dxa"/>
          </w:tcPr>
          <w:p w14:paraId="07051553" w14:textId="3913B3B3" w:rsidR="005D50FA" w:rsidRPr="004B16EB" w:rsidRDefault="005D50FA" w:rsidP="005D50FA">
            <w:pPr>
              <w:pStyle w:val="TableParagraph"/>
              <w:spacing w:line="225" w:lineRule="exact"/>
              <w:ind w:left="720"/>
            </w:pPr>
            <w:r w:rsidRPr="007A139A">
              <w:t xml:space="preserve">California's reported unemployment rate (seasonally adjusted) </w:t>
            </w:r>
            <w:r w:rsidR="00F74A65">
              <w:t>dipped to 5.3</w:t>
            </w:r>
            <w:r>
              <w:t>%</w:t>
            </w:r>
            <w:r w:rsidR="00F74A65">
              <w:t xml:space="preserve"> due to a sizeable drop in the labor force</w:t>
            </w:r>
            <w:r>
              <w:t xml:space="preserve">.  The US rate </w:t>
            </w:r>
            <w:r w:rsidR="00F74A65">
              <w:t>also dipped by</w:t>
            </w:r>
            <w:r w:rsidR="00720D67">
              <w:t xml:space="preserve"> by 0.1 point to</w:t>
            </w:r>
            <w:r w:rsidR="0089651B">
              <w:t xml:space="preserve"> 4.</w:t>
            </w:r>
            <w:r w:rsidR="00F74A65">
              <w:t>3</w:t>
            </w:r>
            <w:r w:rsidR="0089651B">
              <w:t>%</w:t>
            </w:r>
            <w:r w:rsidR="00F74A65">
              <w:t xml:space="preserve"> but based on a relatively stable labor force number</w:t>
            </w:r>
            <w:r w:rsidR="007024FE">
              <w:t>.</w:t>
            </w:r>
          </w:p>
          <w:p w14:paraId="690FB737" w14:textId="77777777" w:rsidR="005D50FA" w:rsidRPr="007A139A" w:rsidRDefault="005D50FA" w:rsidP="005D50FA">
            <w:pPr>
              <w:pStyle w:val="TableParagraph"/>
              <w:spacing w:line="225" w:lineRule="exact"/>
              <w:ind w:left="720"/>
            </w:pPr>
          </w:p>
          <w:p w14:paraId="1AF49D50" w14:textId="77777777" w:rsidR="005D50FA" w:rsidRDefault="005D50FA" w:rsidP="005D50FA">
            <w:pPr>
              <w:pStyle w:val="TableParagraph"/>
              <w:spacing w:line="270" w:lineRule="atLeast"/>
              <w:ind w:left="720"/>
            </w:pPr>
          </w:p>
          <w:p w14:paraId="1EBC614C" w14:textId="77777777" w:rsidR="005D50FA" w:rsidRDefault="005D50FA" w:rsidP="005D50FA">
            <w:pPr>
              <w:pStyle w:val="TableParagraph"/>
              <w:spacing w:line="270" w:lineRule="atLeast"/>
              <w:ind w:left="720"/>
            </w:pPr>
          </w:p>
        </w:tc>
      </w:tr>
    </w:tbl>
    <w:p w14:paraId="5220A10B" w14:textId="0B754D86" w:rsidR="00CF42EE" w:rsidRDefault="00CF42EE" w:rsidP="0022006B">
      <w:pPr>
        <w:pStyle w:val="BodyText"/>
        <w:rPr>
          <w:bCs/>
          <w:i/>
          <w:iCs/>
          <w:sz w:val="20"/>
          <w:szCs w:val="20"/>
        </w:rPr>
      </w:pPr>
      <w:r>
        <w:rPr>
          <w:bCs/>
          <w:i/>
          <w:iCs/>
          <w:sz w:val="20"/>
          <w:szCs w:val="20"/>
        </w:rPr>
        <w:t xml:space="preserve"> </w:t>
      </w:r>
    </w:p>
    <w:p w14:paraId="48CF0394" w14:textId="77777777" w:rsidR="00CF42EE" w:rsidRPr="007004AA" w:rsidRDefault="00CF42EE" w:rsidP="00CF42EE">
      <w:pPr>
        <w:pStyle w:val="BodyText"/>
        <w:jc w:val="center"/>
        <w:rPr>
          <w:bCs/>
          <w:i/>
          <w:iCs/>
          <w:sz w:val="20"/>
          <w:szCs w:val="20"/>
        </w:rPr>
      </w:pPr>
    </w:p>
    <w:tbl>
      <w:tblPr>
        <w:tblW w:w="0" w:type="auto"/>
        <w:tblInd w:w="99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160"/>
        <w:gridCol w:w="6204"/>
      </w:tblGrid>
      <w:tr w:rsidR="005D50FA" w14:paraId="3E9B20D1" w14:textId="77777777" w:rsidTr="00F02E8D">
        <w:trPr>
          <w:trHeight w:val="1295"/>
        </w:trPr>
        <w:tc>
          <w:tcPr>
            <w:tcW w:w="2160" w:type="dxa"/>
          </w:tcPr>
          <w:p w14:paraId="31377F0B" w14:textId="1912A313" w:rsidR="005D50FA" w:rsidRPr="003C36B2" w:rsidRDefault="003C36B2" w:rsidP="005D50FA">
            <w:pPr>
              <w:pStyle w:val="TableParagraph"/>
              <w:spacing w:line="763" w:lineRule="exact"/>
              <w:ind w:left="48" w:right="356"/>
              <w:rPr>
                <w:b/>
                <w:color w:val="EE0000"/>
                <w:sz w:val="66"/>
              </w:rPr>
            </w:pPr>
            <w:r w:rsidRPr="003C36B2">
              <w:rPr>
                <w:b/>
                <w:color w:val="EE0000"/>
                <w:spacing w:val="-4"/>
                <w:sz w:val="66"/>
              </w:rPr>
              <w:t>-</w:t>
            </w:r>
            <w:r w:rsidR="0035686D">
              <w:rPr>
                <w:b/>
                <w:color w:val="EE0000"/>
                <w:spacing w:val="-4"/>
                <w:sz w:val="66"/>
              </w:rPr>
              <w:t>39.6</w:t>
            </w:r>
            <w:r w:rsidR="005D50FA" w:rsidRPr="003C36B2">
              <w:rPr>
                <w:b/>
                <w:color w:val="EE0000"/>
                <w:spacing w:val="-4"/>
                <w:sz w:val="66"/>
              </w:rPr>
              <w:t>k</w:t>
            </w:r>
          </w:p>
          <w:p w14:paraId="676E490E" w14:textId="3911A4EF" w:rsidR="005D50FA" w:rsidRDefault="005D50FA" w:rsidP="005D50FA">
            <w:pPr>
              <w:pStyle w:val="TableParagraph"/>
              <w:spacing w:before="2"/>
              <w:ind w:left="0" w:right="523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CA Employment</w:t>
            </w:r>
          </w:p>
        </w:tc>
        <w:tc>
          <w:tcPr>
            <w:tcW w:w="6204" w:type="dxa"/>
          </w:tcPr>
          <w:p w14:paraId="6542F9D5" w14:textId="451143E7" w:rsidR="005D50FA" w:rsidRDefault="005D50FA" w:rsidP="005D50FA">
            <w:pPr>
              <w:pStyle w:val="TableParagraph"/>
              <w:spacing w:line="225" w:lineRule="exact"/>
              <w:ind w:left="720"/>
            </w:pPr>
            <w:r>
              <w:t xml:space="preserve">Employment </w:t>
            </w:r>
            <w:r w:rsidR="003C6B48">
              <w:t xml:space="preserve">again fell, </w:t>
            </w:r>
            <w:r w:rsidR="003C36B2">
              <w:t xml:space="preserve">by </w:t>
            </w:r>
            <w:r w:rsidR="0035686D">
              <w:t>36,6</w:t>
            </w:r>
            <w:r w:rsidR="003C36B2">
              <w:t>00</w:t>
            </w:r>
            <w:r>
              <w:t xml:space="preserve"> (seasonally adjusted) in </w:t>
            </w:r>
            <w:r w:rsidR="0035686D">
              <w:t>March</w:t>
            </w:r>
            <w:r>
              <w:t xml:space="preserve">, while US employment </w:t>
            </w:r>
            <w:r w:rsidR="0035686D">
              <w:t>was essentially unchanged with a dip of 64</w:t>
            </w:r>
            <w:r w:rsidR="00F86B80">
              <w:t>,000</w:t>
            </w:r>
            <w:r>
              <w:t xml:space="preserve">.  </w:t>
            </w:r>
          </w:p>
          <w:p w14:paraId="55775F88" w14:textId="77777777" w:rsidR="005D50FA" w:rsidRDefault="005D50FA" w:rsidP="005D50FA">
            <w:pPr>
              <w:pStyle w:val="TableParagraph"/>
              <w:spacing w:line="225" w:lineRule="exact"/>
              <w:ind w:left="720"/>
            </w:pPr>
          </w:p>
          <w:p w14:paraId="4773C00A" w14:textId="1AC18DD6" w:rsidR="005D50FA" w:rsidRDefault="005D50FA" w:rsidP="005D50FA">
            <w:pPr>
              <w:pStyle w:val="TableParagraph"/>
              <w:spacing w:line="225" w:lineRule="exact"/>
              <w:ind w:left="720"/>
            </w:pPr>
            <w:r>
              <w:t xml:space="preserve">California unemployment </w:t>
            </w:r>
            <w:r w:rsidR="0035686D">
              <w:t>was largely unchanged with a dip of 17,100</w:t>
            </w:r>
            <w:r>
              <w:t xml:space="preserve">, while US unemployment </w:t>
            </w:r>
            <w:r w:rsidR="0035686D">
              <w:t>fell by 332</w:t>
            </w:r>
            <w:r w:rsidR="00F86B80">
              <w:t>,000</w:t>
            </w:r>
            <w:r w:rsidRPr="007A139A">
              <w:t xml:space="preserve">. </w:t>
            </w:r>
            <w:r>
              <w:t xml:space="preserve"> </w:t>
            </w:r>
            <w:r w:rsidRPr="00FE2461">
              <w:rPr>
                <w:b/>
                <w:bCs/>
              </w:rPr>
              <w:t>California unemployment has been above 1 million</w:t>
            </w:r>
            <w:r>
              <w:rPr>
                <w:b/>
                <w:bCs/>
              </w:rPr>
              <w:t xml:space="preserve"> every month since January 2024</w:t>
            </w:r>
            <w:r w:rsidRPr="00FE2461">
              <w:rPr>
                <w:b/>
                <w:bCs/>
              </w:rPr>
              <w:t>, the highest levels since the pandemic period in 2021.</w:t>
            </w:r>
          </w:p>
        </w:tc>
      </w:tr>
    </w:tbl>
    <w:p w14:paraId="13796434" w14:textId="77777777" w:rsidR="00CF42EE" w:rsidRDefault="00CF42EE" w:rsidP="00CF42EE">
      <w:pPr>
        <w:rPr>
          <w:b/>
          <w:sz w:val="28"/>
        </w:rPr>
      </w:pPr>
    </w:p>
    <w:p w14:paraId="43E24BD4" w14:textId="2BDBE23F" w:rsidR="00CF42EE" w:rsidRDefault="00CF42EE" w:rsidP="00DD2EB3">
      <w:pPr>
        <w:pStyle w:val="BodyText"/>
        <w:spacing w:before="193" w:line="259" w:lineRule="auto"/>
        <w:ind w:right="403"/>
        <w:rPr>
          <w:b/>
          <w:bCs/>
          <w:sz w:val="28"/>
          <w:szCs w:val="28"/>
        </w:rPr>
      </w:pPr>
      <w:r>
        <w:rPr>
          <w:b/>
          <w:sz w:val="28"/>
        </w:rPr>
        <w:t xml:space="preserve"> </w:t>
      </w:r>
    </w:p>
    <w:p w14:paraId="5B83D84F" w14:textId="26C4E6BC" w:rsidR="00CF42EE" w:rsidRPr="003C1188" w:rsidRDefault="00CF42EE" w:rsidP="00CF42EE">
      <w:pPr>
        <w:rPr>
          <w:b/>
          <w:bCs/>
          <w:sz w:val="28"/>
          <w:szCs w:val="28"/>
        </w:rPr>
      </w:pPr>
      <w:r w:rsidRPr="003C1188">
        <w:rPr>
          <w:b/>
          <w:bCs/>
          <w:sz w:val="28"/>
          <w:szCs w:val="28"/>
        </w:rPr>
        <w:t>Nonfarm Jobs</w:t>
      </w:r>
    </w:p>
    <w:tbl>
      <w:tblPr>
        <w:tblpPr w:leftFromText="180" w:rightFromText="180" w:vertAnchor="text" w:horzAnchor="page" w:tblpX="2367" w:tblpY="483"/>
        <w:tblW w:w="0" w:type="auto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239"/>
        <w:gridCol w:w="6116"/>
      </w:tblGrid>
      <w:tr w:rsidR="005D50FA" w14:paraId="49A4DD49" w14:textId="77777777" w:rsidTr="00F02E8D">
        <w:trPr>
          <w:trHeight w:val="1834"/>
        </w:trPr>
        <w:tc>
          <w:tcPr>
            <w:tcW w:w="2239" w:type="dxa"/>
          </w:tcPr>
          <w:p w14:paraId="01086626" w14:textId="408EA03A" w:rsidR="005D50FA" w:rsidRPr="0035686D" w:rsidRDefault="0035686D" w:rsidP="005D50FA">
            <w:pPr>
              <w:pStyle w:val="TableParagraph"/>
              <w:spacing w:line="763" w:lineRule="exact"/>
              <w:ind w:left="42" w:right="516"/>
              <w:jc w:val="center"/>
              <w:rPr>
                <w:b/>
                <w:color w:val="4F81BD" w:themeColor="accent1"/>
                <w:sz w:val="66"/>
              </w:rPr>
            </w:pPr>
            <w:r w:rsidRPr="0035686D">
              <w:rPr>
                <w:b/>
                <w:color w:val="4F81BD" w:themeColor="accent1"/>
                <w:spacing w:val="-2"/>
                <w:sz w:val="66"/>
              </w:rPr>
              <w:t>28.7</w:t>
            </w:r>
            <w:r w:rsidR="005D50FA" w:rsidRPr="0035686D">
              <w:rPr>
                <w:b/>
                <w:color w:val="4F81BD" w:themeColor="accent1"/>
                <w:spacing w:val="-2"/>
                <w:sz w:val="66"/>
              </w:rPr>
              <w:t>k</w:t>
            </w:r>
          </w:p>
          <w:p w14:paraId="7832D0E9" w14:textId="3A43784D" w:rsidR="005D50FA" w:rsidRDefault="005D50FA" w:rsidP="005D50FA">
            <w:pPr>
              <w:pStyle w:val="TableParagraph"/>
              <w:spacing w:before="2"/>
              <w:ind w:left="50" w:right="526" w:firstLine="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Nonfarm Jobs Change </w:t>
            </w:r>
          </w:p>
        </w:tc>
        <w:tc>
          <w:tcPr>
            <w:tcW w:w="6116" w:type="dxa"/>
          </w:tcPr>
          <w:p w14:paraId="496AFA2A" w14:textId="65EB9BC1" w:rsidR="005D50FA" w:rsidRDefault="005D50FA" w:rsidP="005D50FA">
            <w:pPr>
              <w:pStyle w:val="TableParagraph"/>
              <w:spacing w:line="225" w:lineRule="exact"/>
              <w:ind w:left="527"/>
            </w:pPr>
            <w:r w:rsidRPr="00F96CDD">
              <w:t>Nonfarm wage and salary jobs</w:t>
            </w:r>
            <w:r w:rsidRPr="00E21181">
              <w:t xml:space="preserve"> </w:t>
            </w:r>
            <w:r w:rsidR="00CD6B78">
              <w:t xml:space="preserve">(seasonally adjusted) </w:t>
            </w:r>
            <w:r w:rsidR="0089651B">
              <w:t xml:space="preserve">in the preliminary estimate </w:t>
            </w:r>
            <w:r w:rsidR="0035686D">
              <w:t>rose by 28,700</w:t>
            </w:r>
            <w:r w:rsidR="0089651B">
              <w:t xml:space="preserve">, resulting in </w:t>
            </w:r>
            <w:r w:rsidR="00D12083">
              <w:t xml:space="preserve">a total </w:t>
            </w:r>
            <w:r w:rsidR="00CD6B78">
              <w:t>gain</w:t>
            </w:r>
            <w:r w:rsidR="00D12083">
              <w:t xml:space="preserve"> of </w:t>
            </w:r>
            <w:r w:rsidR="0035686D">
              <w:t>144,7</w:t>
            </w:r>
            <w:r w:rsidR="003C6B48">
              <w:t>00</w:t>
            </w:r>
            <w:r w:rsidR="00D12083">
              <w:t xml:space="preserve"> jobs for the year</w:t>
            </w:r>
            <w:r w:rsidR="0089651B">
              <w:t>.</w:t>
            </w:r>
            <w:r>
              <w:t xml:space="preserve"> </w:t>
            </w:r>
          </w:p>
          <w:p w14:paraId="280BFA8C" w14:textId="77777777" w:rsidR="005D50FA" w:rsidRPr="00DE679F" w:rsidRDefault="005D50FA" w:rsidP="005D50FA">
            <w:pPr>
              <w:pStyle w:val="TableParagraph"/>
              <w:spacing w:line="225" w:lineRule="exact"/>
              <w:ind w:left="527"/>
            </w:pPr>
          </w:p>
          <w:p w14:paraId="6E9785CD" w14:textId="625D15B3" w:rsidR="005D50FA" w:rsidRDefault="005D50FA" w:rsidP="005D50FA">
            <w:pPr>
              <w:pStyle w:val="TableParagraph"/>
              <w:spacing w:line="225" w:lineRule="exact"/>
              <w:ind w:left="527"/>
            </w:pPr>
            <w:r>
              <w:t xml:space="preserve">For the US as a whole, nonfarm </w:t>
            </w:r>
            <w:r w:rsidR="0035686D">
              <w:t>rose 178,000</w:t>
            </w:r>
            <w:r w:rsidR="003C6B48">
              <w:t xml:space="preserve"> </w:t>
            </w:r>
            <w:r w:rsidR="0035686D">
              <w:t xml:space="preserve">in March and showed a gain of 260,000 </w:t>
            </w:r>
            <w:r w:rsidR="00CD6B78">
              <w:t>over the year</w:t>
            </w:r>
            <w:r>
              <w:t>.</w:t>
            </w:r>
            <w:r w:rsidR="00CD6B78">
              <w:t xml:space="preserve">  </w:t>
            </w:r>
            <w:r w:rsidR="0035686D">
              <w:t>Again adjusting the strikes, the average job gain in February and March was 22,500.</w:t>
            </w:r>
          </w:p>
          <w:p w14:paraId="45F50B79" w14:textId="77777777" w:rsidR="005D50FA" w:rsidRDefault="005D50FA" w:rsidP="005D50FA">
            <w:pPr>
              <w:pStyle w:val="TableParagraph"/>
              <w:spacing w:line="225" w:lineRule="exact"/>
              <w:ind w:left="527"/>
            </w:pPr>
          </w:p>
          <w:p w14:paraId="64C6007D" w14:textId="77777777" w:rsidR="005D50FA" w:rsidRDefault="005D50FA" w:rsidP="005D50FA">
            <w:pPr>
              <w:pStyle w:val="TableParagraph"/>
              <w:spacing w:line="225" w:lineRule="exact"/>
              <w:ind w:left="527"/>
            </w:pPr>
          </w:p>
          <w:p w14:paraId="3ED6987E" w14:textId="77777777" w:rsidR="005D50FA" w:rsidRDefault="005D50FA" w:rsidP="005D50FA">
            <w:pPr>
              <w:pStyle w:val="TableParagraph"/>
              <w:spacing w:line="225" w:lineRule="exact"/>
              <w:ind w:left="527"/>
            </w:pPr>
          </w:p>
        </w:tc>
      </w:tr>
    </w:tbl>
    <w:p w14:paraId="54CA063F" w14:textId="77777777" w:rsidR="00CF42EE" w:rsidRDefault="00CF42EE" w:rsidP="00CF42EE"/>
    <w:p w14:paraId="673D5A07" w14:textId="77777777" w:rsidR="00CF42EE" w:rsidRDefault="00CF42EE" w:rsidP="00CF42EE">
      <w:pPr>
        <w:rPr>
          <w:b/>
          <w:bCs/>
          <w:sz w:val="28"/>
          <w:szCs w:val="28"/>
        </w:rPr>
      </w:pPr>
    </w:p>
    <w:p w14:paraId="05C355E6" w14:textId="77777777" w:rsidR="00CF42EE" w:rsidRDefault="00CF42EE" w:rsidP="00CF42EE">
      <w:pPr>
        <w:rPr>
          <w:b/>
          <w:bCs/>
          <w:sz w:val="28"/>
          <w:szCs w:val="28"/>
        </w:rPr>
      </w:pPr>
    </w:p>
    <w:p w14:paraId="0F37D4D8" w14:textId="34F02A62" w:rsidR="00514F88" w:rsidRDefault="00514F88" w:rsidP="00CF42EE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                                                </w:t>
      </w:r>
    </w:p>
    <w:p w14:paraId="07081561" w14:textId="77777777" w:rsidR="00CF42EE" w:rsidRDefault="00CF42EE" w:rsidP="00CF42EE">
      <w:pPr>
        <w:jc w:val="center"/>
        <w:rPr>
          <w:b/>
          <w:bCs/>
          <w:sz w:val="28"/>
          <w:szCs w:val="28"/>
        </w:rPr>
      </w:pPr>
    </w:p>
    <w:p w14:paraId="4A18F8B1" w14:textId="77777777" w:rsidR="00CF42EE" w:rsidRPr="0023248A" w:rsidRDefault="00CF42EE" w:rsidP="00CF42EE">
      <w:pPr>
        <w:rPr>
          <w:rFonts w:cstheme="minorHAnsi"/>
          <w:i/>
          <w:sz w:val="16"/>
          <w:szCs w:val="16"/>
        </w:rPr>
      </w:pPr>
    </w:p>
    <w:p w14:paraId="3B096B1A" w14:textId="77777777" w:rsidR="00CF42EE" w:rsidRDefault="00CF42EE" w:rsidP="00CF42EE">
      <w:pPr>
        <w:rPr>
          <w:b/>
          <w:sz w:val="20"/>
          <w:szCs w:val="20"/>
        </w:rPr>
      </w:pPr>
      <w:r>
        <w:rPr>
          <w:b/>
          <w:sz w:val="28"/>
        </w:rPr>
        <w:t xml:space="preserve">Counties with Double-Digit Unemployment </w:t>
      </w:r>
    </w:p>
    <w:p w14:paraId="735EA540" w14:textId="77777777" w:rsidR="00CF42EE" w:rsidRPr="009210A7" w:rsidRDefault="00CF42EE" w:rsidP="00CF42EE">
      <w:pPr>
        <w:spacing w:before="240"/>
        <w:ind w:left="100"/>
        <w:rPr>
          <w:b/>
          <w:sz w:val="20"/>
          <w:szCs w:val="20"/>
        </w:rPr>
      </w:pPr>
    </w:p>
    <w:tbl>
      <w:tblPr>
        <w:tblW w:w="0" w:type="auto"/>
        <w:tblInd w:w="100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239"/>
        <w:gridCol w:w="6097"/>
      </w:tblGrid>
      <w:tr w:rsidR="005D50FA" w14:paraId="75C3731B" w14:textId="77777777" w:rsidTr="00F02E8D">
        <w:trPr>
          <w:trHeight w:val="1401"/>
        </w:trPr>
        <w:tc>
          <w:tcPr>
            <w:tcW w:w="2239" w:type="dxa"/>
          </w:tcPr>
          <w:p w14:paraId="63C3BC50" w14:textId="7EC9805F" w:rsidR="005D50FA" w:rsidRPr="00EE66E3" w:rsidRDefault="0035686D" w:rsidP="005D50FA">
            <w:pPr>
              <w:pStyle w:val="TableParagraph"/>
              <w:spacing w:line="672" w:lineRule="exact"/>
              <w:ind w:left="50"/>
              <w:jc w:val="center"/>
              <w:rPr>
                <w:b/>
                <w:color w:val="4F81BD" w:themeColor="accent1"/>
                <w:sz w:val="66"/>
              </w:rPr>
            </w:pPr>
            <w:r>
              <w:rPr>
                <w:b/>
                <w:color w:val="4F81BD" w:themeColor="accent1"/>
                <w:spacing w:val="-2"/>
                <w:sz w:val="66"/>
              </w:rPr>
              <w:t>6</w:t>
            </w:r>
          </w:p>
          <w:p w14:paraId="671C315C" w14:textId="77777777" w:rsidR="005D50FA" w:rsidRDefault="005D50FA" w:rsidP="005D50FA">
            <w:pPr>
              <w:pStyle w:val="TableParagraph"/>
              <w:spacing w:before="2"/>
              <w:ind w:left="0" w:right="117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Counties with Unemployment Above 10%</w:t>
            </w:r>
          </w:p>
          <w:p w14:paraId="17965DC2" w14:textId="77777777" w:rsidR="005D50FA" w:rsidRDefault="005D50FA" w:rsidP="005D50FA">
            <w:pPr>
              <w:pStyle w:val="TableParagraph"/>
              <w:spacing w:line="219" w:lineRule="exact"/>
              <w:ind w:left="71"/>
              <w:rPr>
                <w:b/>
                <w:sz w:val="20"/>
              </w:rPr>
            </w:pPr>
          </w:p>
        </w:tc>
        <w:tc>
          <w:tcPr>
            <w:tcW w:w="6097" w:type="dxa"/>
          </w:tcPr>
          <w:p w14:paraId="3F9E90A1" w14:textId="6C36E2E5" w:rsidR="005D50FA" w:rsidRDefault="005D50FA" w:rsidP="005D50FA">
            <w:pPr>
              <w:pStyle w:val="TableParagraph"/>
              <w:spacing w:before="98"/>
              <w:ind w:left="527"/>
            </w:pPr>
            <w:r w:rsidRPr="00E47ACD">
              <w:t xml:space="preserve">The number of counties with an unemployment rate </w:t>
            </w:r>
            <w:r>
              <w:t xml:space="preserve">(not seasonally adjusted) </w:t>
            </w:r>
            <w:r w:rsidRPr="00E47ACD">
              <w:t xml:space="preserve">at 10% </w:t>
            </w:r>
            <w:r w:rsidR="0035686D">
              <w:t>dropped to 6</w:t>
            </w:r>
            <w:r w:rsidRPr="00E47ACD">
              <w:t xml:space="preserve">. The unadjusted rates ranged from </w:t>
            </w:r>
            <w:r w:rsidR="00D12083">
              <w:t>3.</w:t>
            </w:r>
            <w:r w:rsidR="0035686D">
              <w:t>5</w:t>
            </w:r>
            <w:r w:rsidRPr="00E47ACD">
              <w:t xml:space="preserve">% in </w:t>
            </w:r>
            <w:r w:rsidR="00D12083">
              <w:t>San Mateo</w:t>
            </w:r>
            <w:r>
              <w:t xml:space="preserve"> </w:t>
            </w:r>
            <w:r w:rsidRPr="00E47ACD">
              <w:t xml:space="preserve">to </w:t>
            </w:r>
            <w:r w:rsidR="0035686D">
              <w:t>17.0</w:t>
            </w:r>
            <w:r w:rsidRPr="00E47ACD">
              <w:t xml:space="preserve">% in </w:t>
            </w:r>
            <w:r w:rsidR="0035686D">
              <w:t>Colusa</w:t>
            </w:r>
            <w:r w:rsidRPr="00E47ACD">
              <w:t>.</w:t>
            </w:r>
          </w:p>
          <w:p w14:paraId="10DA8E56" w14:textId="77777777" w:rsidR="00D21DC7" w:rsidRDefault="00D21DC7" w:rsidP="005D50FA">
            <w:pPr>
              <w:pStyle w:val="TableParagraph"/>
              <w:spacing w:before="98"/>
              <w:ind w:left="527"/>
            </w:pPr>
          </w:p>
          <w:p w14:paraId="47F96296" w14:textId="604417E3" w:rsidR="00D21DC7" w:rsidRPr="00E47ACD" w:rsidRDefault="00D21DC7" w:rsidP="005D50FA">
            <w:pPr>
              <w:pStyle w:val="TableParagraph"/>
              <w:spacing w:before="98"/>
              <w:ind w:left="527"/>
            </w:pPr>
            <w:r>
              <w:t>In the chart, counties with rates higher than the state average are coded in red.</w:t>
            </w:r>
          </w:p>
          <w:p w14:paraId="1742B917" w14:textId="77777777" w:rsidR="005D50FA" w:rsidRDefault="005D50FA" w:rsidP="005D50FA">
            <w:pPr>
              <w:pStyle w:val="TableParagraph"/>
              <w:spacing w:before="98"/>
              <w:ind w:left="527"/>
            </w:pPr>
          </w:p>
        </w:tc>
      </w:tr>
    </w:tbl>
    <w:p w14:paraId="0A926A31" w14:textId="2A106904" w:rsidR="00F537E1" w:rsidRPr="00F537E1" w:rsidRDefault="00F537E1" w:rsidP="00F537E1">
      <w:pPr>
        <w:pStyle w:val="BodyText"/>
        <w:jc w:val="center"/>
        <w:rPr>
          <w:bCs/>
          <w:sz w:val="20"/>
        </w:rPr>
      </w:pPr>
    </w:p>
    <w:p w14:paraId="395E8588" w14:textId="77777777" w:rsidR="00CF42EE" w:rsidRDefault="00CF42EE" w:rsidP="00CF42EE">
      <w:pPr>
        <w:pStyle w:val="BodyText"/>
        <w:rPr>
          <w:b/>
          <w:sz w:val="20"/>
        </w:rPr>
      </w:pPr>
    </w:p>
    <w:p w14:paraId="719C8EB3" w14:textId="48649047" w:rsidR="006C168D" w:rsidRPr="00535BD0" w:rsidRDefault="0035686D" w:rsidP="006C168D">
      <w:pPr>
        <w:pStyle w:val="BodyText"/>
        <w:jc w:val="center"/>
        <w:rPr>
          <w:bCs/>
          <w:sz w:val="20"/>
        </w:rPr>
      </w:pPr>
      <w:r>
        <w:rPr>
          <w:bCs/>
          <w:noProof/>
          <w:sz w:val="20"/>
        </w:rPr>
        <w:drawing>
          <wp:inline distT="0" distB="0" distL="0" distR="0" wp14:anchorId="45CB0F96" wp14:editId="6EF57280">
            <wp:extent cx="4474463" cy="3094136"/>
            <wp:effectExtent l="0" t="0" r="2540" b="0"/>
            <wp:docPr id="1287118556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85260" cy="310160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sectPr w:rsidR="006C168D" w:rsidRPr="00535BD0">
      <w:headerReference w:type="default" r:id="rId9"/>
      <w:footerReference w:type="default" r:id="rId10"/>
      <w:pgSz w:w="12240" w:h="15840"/>
      <w:pgMar w:top="1480" w:right="1060" w:bottom="1200" w:left="1340" w:header="480" w:footer="1012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63AC4D" w14:textId="77777777" w:rsidR="00045E9C" w:rsidRDefault="00045E9C">
      <w:r>
        <w:separator/>
      </w:r>
    </w:p>
  </w:endnote>
  <w:endnote w:type="continuationSeparator" w:id="0">
    <w:p w14:paraId="78A55206" w14:textId="77777777" w:rsidR="00045E9C" w:rsidRDefault="00045E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1218B4" w14:textId="4498BA81" w:rsidR="00454DC4" w:rsidRDefault="00922021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1" locked="0" layoutInCell="1" allowOverlap="1" wp14:anchorId="205ECD74" wp14:editId="48962F13">
              <wp:simplePos x="0" y="0"/>
              <wp:positionH relativeFrom="page">
                <wp:posOffset>6751320</wp:posOffset>
              </wp:positionH>
              <wp:positionV relativeFrom="page">
                <wp:posOffset>9276080</wp:posOffset>
              </wp:positionV>
              <wp:extent cx="160020" cy="165735"/>
              <wp:effectExtent l="0" t="0" r="0" b="0"/>
              <wp:wrapNone/>
              <wp:docPr id="3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0020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FFC9F8C" w14:textId="77777777" w:rsidR="00454DC4" w:rsidRDefault="00B26975">
                          <w:pPr>
                            <w:pStyle w:val="BodyText"/>
                            <w:spacing w:line="245" w:lineRule="exact"/>
                            <w:ind w:left="60"/>
                          </w:pPr>
                          <w:r>
                            <w:fldChar w:fldCharType="begin"/>
                          </w:r>
                          <w: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05ECD74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margin-left:531.6pt;margin-top:730.4pt;width:12.6pt;height:13.05pt;z-index:-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" filled="f" stroked="f">
              <v:textbox inset="0,0,0,0">
                <w:txbxContent>
                  <w:p w14:paraId="6FFC9F8C" w14:textId="77777777" w:rsidR="00454DC4" w:rsidRDefault="00B26975">
                    <w:pPr>
                      <w:pStyle w:val="BodyText"/>
                      <w:spacing w:line="245" w:lineRule="exact"/>
                      <w:ind w:left="60"/>
                    </w:pPr>
                    <w:r>
                      <w:fldChar w:fldCharType="begin"/>
                    </w:r>
                    <w:r>
                      <w:instrText xml:space="preserve"> PAGE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F758C2" w14:textId="77777777" w:rsidR="00045E9C" w:rsidRDefault="00045E9C">
      <w:r>
        <w:separator/>
      </w:r>
    </w:p>
  </w:footnote>
  <w:footnote w:type="continuationSeparator" w:id="0">
    <w:p w14:paraId="543F3E4A" w14:textId="77777777" w:rsidR="00045E9C" w:rsidRDefault="00045E9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BF1A29" w14:textId="1F289AD1" w:rsidR="00454DC4" w:rsidRDefault="00963E6F">
    <w:pPr>
      <w:pStyle w:val="BodyText"/>
      <w:spacing w:line="14" w:lineRule="auto"/>
      <w:rPr>
        <w:sz w:val="20"/>
      </w:rPr>
    </w:pPr>
    <w:r>
      <w:rPr>
        <w:noProof/>
      </w:rPr>
      <w:drawing>
        <wp:anchor distT="0" distB="0" distL="114300" distR="114300" simplePos="0" relativeHeight="251656192" behindDoc="0" locked="0" layoutInCell="1" allowOverlap="1" wp14:anchorId="655CFDEF" wp14:editId="32162D2A">
          <wp:simplePos x="0" y="0"/>
          <wp:positionH relativeFrom="column">
            <wp:posOffset>-495300</wp:posOffset>
          </wp:positionH>
          <wp:positionV relativeFrom="paragraph">
            <wp:posOffset>-44450</wp:posOffset>
          </wp:positionV>
          <wp:extent cx="2908300" cy="520700"/>
          <wp:effectExtent l="0" t="0" r="0" b="0"/>
          <wp:wrapSquare wrapText="bothSides"/>
          <wp:docPr id="1919884115" name="Picture 1919884115" descr="Graphical user interface, text&#10;&#10;Description automatically generated with medium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4" descr="Graphical user interface, text&#10;&#10;Description automatically generated with medium confidenc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08300" cy="520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706567"/>
    <w:multiLevelType w:val="hybridMultilevel"/>
    <w:tmpl w:val="0378613C"/>
    <w:lvl w:ilvl="0" w:tplc="ED929F2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D16BFA"/>
    <w:multiLevelType w:val="hybridMultilevel"/>
    <w:tmpl w:val="BF0E0A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F51386B"/>
    <w:multiLevelType w:val="hybridMultilevel"/>
    <w:tmpl w:val="89528FAC"/>
    <w:lvl w:ilvl="0" w:tplc="2D96544E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516309FC"/>
    <w:multiLevelType w:val="hybridMultilevel"/>
    <w:tmpl w:val="0E94A8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4582C18"/>
    <w:multiLevelType w:val="hybridMultilevel"/>
    <w:tmpl w:val="A29241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35294161">
    <w:abstractNumId w:val="4"/>
  </w:num>
  <w:num w:numId="2" w16cid:durableId="820923120">
    <w:abstractNumId w:val="2"/>
  </w:num>
  <w:num w:numId="3" w16cid:durableId="2046633822">
    <w:abstractNumId w:val="0"/>
  </w:num>
  <w:num w:numId="4" w16cid:durableId="999771398">
    <w:abstractNumId w:val="1"/>
  </w:num>
  <w:num w:numId="5" w16cid:durableId="20591957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4DC4"/>
    <w:rsid w:val="00001223"/>
    <w:rsid w:val="00001E08"/>
    <w:rsid w:val="00003BD7"/>
    <w:rsid w:val="00005606"/>
    <w:rsid w:val="00006EA4"/>
    <w:rsid w:val="00015177"/>
    <w:rsid w:val="0001579A"/>
    <w:rsid w:val="000220FD"/>
    <w:rsid w:val="00030577"/>
    <w:rsid w:val="000326EC"/>
    <w:rsid w:val="00037F89"/>
    <w:rsid w:val="00045E9C"/>
    <w:rsid w:val="00046DAC"/>
    <w:rsid w:val="00050BA8"/>
    <w:rsid w:val="00056888"/>
    <w:rsid w:val="00066239"/>
    <w:rsid w:val="00071ED9"/>
    <w:rsid w:val="00073C40"/>
    <w:rsid w:val="0007423C"/>
    <w:rsid w:val="000749B2"/>
    <w:rsid w:val="00077665"/>
    <w:rsid w:val="00080C6E"/>
    <w:rsid w:val="00081288"/>
    <w:rsid w:val="000856A1"/>
    <w:rsid w:val="00096351"/>
    <w:rsid w:val="000A269C"/>
    <w:rsid w:val="000A2CD8"/>
    <w:rsid w:val="000A71EF"/>
    <w:rsid w:val="000B31A4"/>
    <w:rsid w:val="000B5E9A"/>
    <w:rsid w:val="000B6D00"/>
    <w:rsid w:val="000B7088"/>
    <w:rsid w:val="000C08E1"/>
    <w:rsid w:val="000C2F34"/>
    <w:rsid w:val="000C590E"/>
    <w:rsid w:val="000C70BD"/>
    <w:rsid w:val="000D73E3"/>
    <w:rsid w:val="000F1A53"/>
    <w:rsid w:val="001022F3"/>
    <w:rsid w:val="00105166"/>
    <w:rsid w:val="00111CC1"/>
    <w:rsid w:val="001131E5"/>
    <w:rsid w:val="00115D8A"/>
    <w:rsid w:val="00116CCE"/>
    <w:rsid w:val="00126B07"/>
    <w:rsid w:val="00132A3F"/>
    <w:rsid w:val="001334D6"/>
    <w:rsid w:val="00136C62"/>
    <w:rsid w:val="00137B7B"/>
    <w:rsid w:val="00137ED1"/>
    <w:rsid w:val="00140146"/>
    <w:rsid w:val="00142C4B"/>
    <w:rsid w:val="00146A42"/>
    <w:rsid w:val="001529C8"/>
    <w:rsid w:val="001550AA"/>
    <w:rsid w:val="00157E9A"/>
    <w:rsid w:val="00164985"/>
    <w:rsid w:val="001707B8"/>
    <w:rsid w:val="00174554"/>
    <w:rsid w:val="00176459"/>
    <w:rsid w:val="00193A08"/>
    <w:rsid w:val="001973B6"/>
    <w:rsid w:val="001A22FA"/>
    <w:rsid w:val="001A326F"/>
    <w:rsid w:val="001A5134"/>
    <w:rsid w:val="001B0991"/>
    <w:rsid w:val="001B22D4"/>
    <w:rsid w:val="001C32B3"/>
    <w:rsid w:val="001C7EE8"/>
    <w:rsid w:val="001D0115"/>
    <w:rsid w:val="001D398A"/>
    <w:rsid w:val="001D679F"/>
    <w:rsid w:val="001E0B43"/>
    <w:rsid w:val="001E1235"/>
    <w:rsid w:val="001E1CE3"/>
    <w:rsid w:val="001E5985"/>
    <w:rsid w:val="001F6578"/>
    <w:rsid w:val="001F79C9"/>
    <w:rsid w:val="002015FD"/>
    <w:rsid w:val="002018CF"/>
    <w:rsid w:val="00206B01"/>
    <w:rsid w:val="00214E4C"/>
    <w:rsid w:val="00216A99"/>
    <w:rsid w:val="0022006B"/>
    <w:rsid w:val="002201A3"/>
    <w:rsid w:val="002212FB"/>
    <w:rsid w:val="00222DB8"/>
    <w:rsid w:val="0022799D"/>
    <w:rsid w:val="00230D35"/>
    <w:rsid w:val="00233FB6"/>
    <w:rsid w:val="0023496B"/>
    <w:rsid w:val="002422B9"/>
    <w:rsid w:val="002433D0"/>
    <w:rsid w:val="002458B8"/>
    <w:rsid w:val="00260D1D"/>
    <w:rsid w:val="002703E5"/>
    <w:rsid w:val="00271033"/>
    <w:rsid w:val="00275A5A"/>
    <w:rsid w:val="00281D9F"/>
    <w:rsid w:val="002832AB"/>
    <w:rsid w:val="00283D78"/>
    <w:rsid w:val="002925F5"/>
    <w:rsid w:val="0029701D"/>
    <w:rsid w:val="00297353"/>
    <w:rsid w:val="00297D3E"/>
    <w:rsid w:val="002A1CA8"/>
    <w:rsid w:val="002A6B10"/>
    <w:rsid w:val="002A78BA"/>
    <w:rsid w:val="002B14F7"/>
    <w:rsid w:val="002B56EF"/>
    <w:rsid w:val="002B69BA"/>
    <w:rsid w:val="002C1252"/>
    <w:rsid w:val="002C2357"/>
    <w:rsid w:val="002C3698"/>
    <w:rsid w:val="002C424F"/>
    <w:rsid w:val="002D0147"/>
    <w:rsid w:val="002D1547"/>
    <w:rsid w:val="002D28A7"/>
    <w:rsid w:val="002D5F99"/>
    <w:rsid w:val="002E2019"/>
    <w:rsid w:val="002E583F"/>
    <w:rsid w:val="002F0438"/>
    <w:rsid w:val="002F16F6"/>
    <w:rsid w:val="002F1E0C"/>
    <w:rsid w:val="002F3EA0"/>
    <w:rsid w:val="002F564B"/>
    <w:rsid w:val="002F6BB1"/>
    <w:rsid w:val="002F7429"/>
    <w:rsid w:val="003022C0"/>
    <w:rsid w:val="00310281"/>
    <w:rsid w:val="0031159F"/>
    <w:rsid w:val="0031204A"/>
    <w:rsid w:val="0031713A"/>
    <w:rsid w:val="0032104A"/>
    <w:rsid w:val="00321A83"/>
    <w:rsid w:val="00322C15"/>
    <w:rsid w:val="00325B6D"/>
    <w:rsid w:val="00331FF8"/>
    <w:rsid w:val="003339F9"/>
    <w:rsid w:val="00334318"/>
    <w:rsid w:val="0033443B"/>
    <w:rsid w:val="00336BCB"/>
    <w:rsid w:val="00340AB6"/>
    <w:rsid w:val="00343F3F"/>
    <w:rsid w:val="0034555F"/>
    <w:rsid w:val="00345C1C"/>
    <w:rsid w:val="00345F4C"/>
    <w:rsid w:val="00346AC8"/>
    <w:rsid w:val="00351328"/>
    <w:rsid w:val="0035686D"/>
    <w:rsid w:val="00360E0A"/>
    <w:rsid w:val="00361B9B"/>
    <w:rsid w:val="00384482"/>
    <w:rsid w:val="00384D47"/>
    <w:rsid w:val="00387308"/>
    <w:rsid w:val="00392627"/>
    <w:rsid w:val="003A5357"/>
    <w:rsid w:val="003A610E"/>
    <w:rsid w:val="003A674E"/>
    <w:rsid w:val="003C1188"/>
    <w:rsid w:val="003C36B2"/>
    <w:rsid w:val="003C515E"/>
    <w:rsid w:val="003C6B48"/>
    <w:rsid w:val="003C70D7"/>
    <w:rsid w:val="003D1C54"/>
    <w:rsid w:val="003E0178"/>
    <w:rsid w:val="003E11DF"/>
    <w:rsid w:val="003E23A8"/>
    <w:rsid w:val="003E60D4"/>
    <w:rsid w:val="003E6A08"/>
    <w:rsid w:val="003E6E91"/>
    <w:rsid w:val="003F0703"/>
    <w:rsid w:val="003F1832"/>
    <w:rsid w:val="003F2284"/>
    <w:rsid w:val="003F5F19"/>
    <w:rsid w:val="003F74A1"/>
    <w:rsid w:val="003F7F02"/>
    <w:rsid w:val="003F7F89"/>
    <w:rsid w:val="00404D92"/>
    <w:rsid w:val="0041003D"/>
    <w:rsid w:val="00411CE9"/>
    <w:rsid w:val="004161DA"/>
    <w:rsid w:val="00417657"/>
    <w:rsid w:val="00422313"/>
    <w:rsid w:val="00423DBA"/>
    <w:rsid w:val="00430421"/>
    <w:rsid w:val="00432C10"/>
    <w:rsid w:val="00441FFB"/>
    <w:rsid w:val="004443EF"/>
    <w:rsid w:val="00446952"/>
    <w:rsid w:val="00446C98"/>
    <w:rsid w:val="00454DC4"/>
    <w:rsid w:val="00462F45"/>
    <w:rsid w:val="0046370B"/>
    <w:rsid w:val="00464191"/>
    <w:rsid w:val="00466845"/>
    <w:rsid w:val="004716D0"/>
    <w:rsid w:val="004722B8"/>
    <w:rsid w:val="004764FD"/>
    <w:rsid w:val="00476621"/>
    <w:rsid w:val="0048147F"/>
    <w:rsid w:val="00481731"/>
    <w:rsid w:val="00485B71"/>
    <w:rsid w:val="004914FE"/>
    <w:rsid w:val="0049215D"/>
    <w:rsid w:val="004A3404"/>
    <w:rsid w:val="004A354A"/>
    <w:rsid w:val="004A3C71"/>
    <w:rsid w:val="004B04D9"/>
    <w:rsid w:val="004B16EB"/>
    <w:rsid w:val="004B6C67"/>
    <w:rsid w:val="004C303B"/>
    <w:rsid w:val="004C5EBE"/>
    <w:rsid w:val="004C697E"/>
    <w:rsid w:val="004D0578"/>
    <w:rsid w:val="004D1EC0"/>
    <w:rsid w:val="004E57ED"/>
    <w:rsid w:val="004E6C74"/>
    <w:rsid w:val="004F24B0"/>
    <w:rsid w:val="004F56C5"/>
    <w:rsid w:val="004F5D29"/>
    <w:rsid w:val="00514675"/>
    <w:rsid w:val="00514F88"/>
    <w:rsid w:val="00516524"/>
    <w:rsid w:val="005314DF"/>
    <w:rsid w:val="00535BD0"/>
    <w:rsid w:val="00537102"/>
    <w:rsid w:val="00542677"/>
    <w:rsid w:val="00555BD5"/>
    <w:rsid w:val="005636FF"/>
    <w:rsid w:val="00564524"/>
    <w:rsid w:val="00564A4A"/>
    <w:rsid w:val="005740C6"/>
    <w:rsid w:val="00590144"/>
    <w:rsid w:val="00592A8E"/>
    <w:rsid w:val="00593F3D"/>
    <w:rsid w:val="005A4F3A"/>
    <w:rsid w:val="005A5FE8"/>
    <w:rsid w:val="005B2D09"/>
    <w:rsid w:val="005B5EC8"/>
    <w:rsid w:val="005B65C7"/>
    <w:rsid w:val="005B6E9D"/>
    <w:rsid w:val="005C049C"/>
    <w:rsid w:val="005C2833"/>
    <w:rsid w:val="005C467E"/>
    <w:rsid w:val="005D50FA"/>
    <w:rsid w:val="005D52A7"/>
    <w:rsid w:val="005E1C32"/>
    <w:rsid w:val="005E2418"/>
    <w:rsid w:val="005E42F8"/>
    <w:rsid w:val="005E481A"/>
    <w:rsid w:val="005F46C7"/>
    <w:rsid w:val="00605DCE"/>
    <w:rsid w:val="00610DDA"/>
    <w:rsid w:val="00610EF2"/>
    <w:rsid w:val="00616E5E"/>
    <w:rsid w:val="00622D3F"/>
    <w:rsid w:val="00624C51"/>
    <w:rsid w:val="0062503B"/>
    <w:rsid w:val="006311A2"/>
    <w:rsid w:val="00631826"/>
    <w:rsid w:val="00631B52"/>
    <w:rsid w:val="00637C72"/>
    <w:rsid w:val="00643F2D"/>
    <w:rsid w:val="00660353"/>
    <w:rsid w:val="006611C7"/>
    <w:rsid w:val="00661957"/>
    <w:rsid w:val="00663B08"/>
    <w:rsid w:val="0067009D"/>
    <w:rsid w:val="00670D64"/>
    <w:rsid w:val="00671C5B"/>
    <w:rsid w:val="00672464"/>
    <w:rsid w:val="00697FA7"/>
    <w:rsid w:val="006A20F1"/>
    <w:rsid w:val="006A2FD2"/>
    <w:rsid w:val="006A7E6C"/>
    <w:rsid w:val="006B3BF3"/>
    <w:rsid w:val="006C168D"/>
    <w:rsid w:val="006C70D1"/>
    <w:rsid w:val="006E3660"/>
    <w:rsid w:val="006F08AC"/>
    <w:rsid w:val="007004AA"/>
    <w:rsid w:val="00700F77"/>
    <w:rsid w:val="007013D4"/>
    <w:rsid w:val="007024FE"/>
    <w:rsid w:val="00703A4E"/>
    <w:rsid w:val="0070700E"/>
    <w:rsid w:val="0071009E"/>
    <w:rsid w:val="00711926"/>
    <w:rsid w:val="00720D67"/>
    <w:rsid w:val="00733211"/>
    <w:rsid w:val="00733E4B"/>
    <w:rsid w:val="00740AE6"/>
    <w:rsid w:val="00740ECB"/>
    <w:rsid w:val="00745B12"/>
    <w:rsid w:val="00747977"/>
    <w:rsid w:val="0075283E"/>
    <w:rsid w:val="0075396B"/>
    <w:rsid w:val="007563B4"/>
    <w:rsid w:val="00761441"/>
    <w:rsid w:val="00763978"/>
    <w:rsid w:val="00773282"/>
    <w:rsid w:val="0078012C"/>
    <w:rsid w:val="00780329"/>
    <w:rsid w:val="0078319C"/>
    <w:rsid w:val="00793B2A"/>
    <w:rsid w:val="007948F8"/>
    <w:rsid w:val="00794C9F"/>
    <w:rsid w:val="00794E79"/>
    <w:rsid w:val="00796872"/>
    <w:rsid w:val="007A139A"/>
    <w:rsid w:val="007A3742"/>
    <w:rsid w:val="007A7332"/>
    <w:rsid w:val="007B53D9"/>
    <w:rsid w:val="007C346D"/>
    <w:rsid w:val="007C6263"/>
    <w:rsid w:val="007C6FF9"/>
    <w:rsid w:val="007D0674"/>
    <w:rsid w:val="007D1A01"/>
    <w:rsid w:val="007D553A"/>
    <w:rsid w:val="007D5E21"/>
    <w:rsid w:val="007E16B3"/>
    <w:rsid w:val="00800EF6"/>
    <w:rsid w:val="00800F87"/>
    <w:rsid w:val="00804DCD"/>
    <w:rsid w:val="00805AEB"/>
    <w:rsid w:val="00815D1C"/>
    <w:rsid w:val="00817AF6"/>
    <w:rsid w:val="00821C2A"/>
    <w:rsid w:val="00830668"/>
    <w:rsid w:val="00831165"/>
    <w:rsid w:val="00833056"/>
    <w:rsid w:val="00837184"/>
    <w:rsid w:val="0083725E"/>
    <w:rsid w:val="008376C5"/>
    <w:rsid w:val="0084244C"/>
    <w:rsid w:val="0084301E"/>
    <w:rsid w:val="008432AB"/>
    <w:rsid w:val="008527FC"/>
    <w:rsid w:val="0085616C"/>
    <w:rsid w:val="0085649D"/>
    <w:rsid w:val="008608F9"/>
    <w:rsid w:val="00860ED0"/>
    <w:rsid w:val="0086332C"/>
    <w:rsid w:val="008638A0"/>
    <w:rsid w:val="00867827"/>
    <w:rsid w:val="00870FEE"/>
    <w:rsid w:val="008731CD"/>
    <w:rsid w:val="00875EEC"/>
    <w:rsid w:val="0088001B"/>
    <w:rsid w:val="00881E95"/>
    <w:rsid w:val="00882E82"/>
    <w:rsid w:val="008836ED"/>
    <w:rsid w:val="00883ACA"/>
    <w:rsid w:val="00891F75"/>
    <w:rsid w:val="00893E47"/>
    <w:rsid w:val="0089440F"/>
    <w:rsid w:val="0089651B"/>
    <w:rsid w:val="008A000D"/>
    <w:rsid w:val="008A2AA8"/>
    <w:rsid w:val="008A38EB"/>
    <w:rsid w:val="008A39A1"/>
    <w:rsid w:val="008B3B69"/>
    <w:rsid w:val="008B525D"/>
    <w:rsid w:val="008B7AC8"/>
    <w:rsid w:val="008C0E62"/>
    <w:rsid w:val="008C1BD8"/>
    <w:rsid w:val="008C2E82"/>
    <w:rsid w:val="008C7311"/>
    <w:rsid w:val="008D7E76"/>
    <w:rsid w:val="008E1F48"/>
    <w:rsid w:val="008E4775"/>
    <w:rsid w:val="008F5A2A"/>
    <w:rsid w:val="0090071B"/>
    <w:rsid w:val="00900BFF"/>
    <w:rsid w:val="009021C0"/>
    <w:rsid w:val="009025FA"/>
    <w:rsid w:val="00903BED"/>
    <w:rsid w:val="0090593D"/>
    <w:rsid w:val="0091194A"/>
    <w:rsid w:val="009120A6"/>
    <w:rsid w:val="00912140"/>
    <w:rsid w:val="009210A7"/>
    <w:rsid w:val="00921C95"/>
    <w:rsid w:val="00922021"/>
    <w:rsid w:val="00923BE0"/>
    <w:rsid w:val="00924309"/>
    <w:rsid w:val="00926501"/>
    <w:rsid w:val="00926992"/>
    <w:rsid w:val="00933A4A"/>
    <w:rsid w:val="00936E4B"/>
    <w:rsid w:val="0094686A"/>
    <w:rsid w:val="009515E8"/>
    <w:rsid w:val="00952660"/>
    <w:rsid w:val="00953281"/>
    <w:rsid w:val="0095522C"/>
    <w:rsid w:val="0095647E"/>
    <w:rsid w:val="00963E6F"/>
    <w:rsid w:val="00964A85"/>
    <w:rsid w:val="00964ECD"/>
    <w:rsid w:val="00966313"/>
    <w:rsid w:val="00966B90"/>
    <w:rsid w:val="0097387D"/>
    <w:rsid w:val="0097788E"/>
    <w:rsid w:val="00991038"/>
    <w:rsid w:val="00992F89"/>
    <w:rsid w:val="00996965"/>
    <w:rsid w:val="009A6C07"/>
    <w:rsid w:val="009B08F5"/>
    <w:rsid w:val="009B58CD"/>
    <w:rsid w:val="009B6044"/>
    <w:rsid w:val="009B640C"/>
    <w:rsid w:val="009C19C2"/>
    <w:rsid w:val="009C52F0"/>
    <w:rsid w:val="009F4839"/>
    <w:rsid w:val="00A0046F"/>
    <w:rsid w:val="00A05361"/>
    <w:rsid w:val="00A10062"/>
    <w:rsid w:val="00A11EDF"/>
    <w:rsid w:val="00A16622"/>
    <w:rsid w:val="00A2631C"/>
    <w:rsid w:val="00A4419F"/>
    <w:rsid w:val="00A45CF5"/>
    <w:rsid w:val="00A50F1E"/>
    <w:rsid w:val="00A52868"/>
    <w:rsid w:val="00A55BFE"/>
    <w:rsid w:val="00A566AC"/>
    <w:rsid w:val="00A571AF"/>
    <w:rsid w:val="00A63029"/>
    <w:rsid w:val="00A6781A"/>
    <w:rsid w:val="00A744AC"/>
    <w:rsid w:val="00A8361C"/>
    <w:rsid w:val="00A85280"/>
    <w:rsid w:val="00A854E3"/>
    <w:rsid w:val="00A8784E"/>
    <w:rsid w:val="00A9159F"/>
    <w:rsid w:val="00A95261"/>
    <w:rsid w:val="00AA12B5"/>
    <w:rsid w:val="00AA30CA"/>
    <w:rsid w:val="00AA41E3"/>
    <w:rsid w:val="00AA78D1"/>
    <w:rsid w:val="00AB11E9"/>
    <w:rsid w:val="00AB155B"/>
    <w:rsid w:val="00AB4E4E"/>
    <w:rsid w:val="00AB5AFE"/>
    <w:rsid w:val="00AC20E3"/>
    <w:rsid w:val="00AC38F8"/>
    <w:rsid w:val="00AC3B6D"/>
    <w:rsid w:val="00AC6A55"/>
    <w:rsid w:val="00AD3501"/>
    <w:rsid w:val="00AD409E"/>
    <w:rsid w:val="00AD5060"/>
    <w:rsid w:val="00AD5AA7"/>
    <w:rsid w:val="00AE624A"/>
    <w:rsid w:val="00AE6398"/>
    <w:rsid w:val="00AE681D"/>
    <w:rsid w:val="00AE77B7"/>
    <w:rsid w:val="00AF0F4C"/>
    <w:rsid w:val="00AF30D3"/>
    <w:rsid w:val="00B26975"/>
    <w:rsid w:val="00B278C0"/>
    <w:rsid w:val="00B36808"/>
    <w:rsid w:val="00B515F7"/>
    <w:rsid w:val="00B5504B"/>
    <w:rsid w:val="00B6333B"/>
    <w:rsid w:val="00B67D9B"/>
    <w:rsid w:val="00B7281F"/>
    <w:rsid w:val="00B748A8"/>
    <w:rsid w:val="00B74998"/>
    <w:rsid w:val="00B842B4"/>
    <w:rsid w:val="00BA2930"/>
    <w:rsid w:val="00BB292D"/>
    <w:rsid w:val="00BB473A"/>
    <w:rsid w:val="00BB7FCB"/>
    <w:rsid w:val="00BC5BFE"/>
    <w:rsid w:val="00BD29AD"/>
    <w:rsid w:val="00BD4B46"/>
    <w:rsid w:val="00BD6B28"/>
    <w:rsid w:val="00BE1A93"/>
    <w:rsid w:val="00C00F53"/>
    <w:rsid w:val="00C0719E"/>
    <w:rsid w:val="00C07A14"/>
    <w:rsid w:val="00C15B7B"/>
    <w:rsid w:val="00C246B8"/>
    <w:rsid w:val="00C24711"/>
    <w:rsid w:val="00C407D3"/>
    <w:rsid w:val="00C4319B"/>
    <w:rsid w:val="00C53448"/>
    <w:rsid w:val="00C60AB3"/>
    <w:rsid w:val="00C6751B"/>
    <w:rsid w:val="00C708D6"/>
    <w:rsid w:val="00C7391E"/>
    <w:rsid w:val="00C739B1"/>
    <w:rsid w:val="00C81DB3"/>
    <w:rsid w:val="00C8223C"/>
    <w:rsid w:val="00C840EA"/>
    <w:rsid w:val="00C8433A"/>
    <w:rsid w:val="00C85075"/>
    <w:rsid w:val="00C870E4"/>
    <w:rsid w:val="00C879D4"/>
    <w:rsid w:val="00C94C34"/>
    <w:rsid w:val="00C9571B"/>
    <w:rsid w:val="00CA7642"/>
    <w:rsid w:val="00CB1777"/>
    <w:rsid w:val="00CB27C0"/>
    <w:rsid w:val="00CB6C82"/>
    <w:rsid w:val="00CB73E6"/>
    <w:rsid w:val="00CB7710"/>
    <w:rsid w:val="00CC7075"/>
    <w:rsid w:val="00CD0CA5"/>
    <w:rsid w:val="00CD0E89"/>
    <w:rsid w:val="00CD6B78"/>
    <w:rsid w:val="00CE131C"/>
    <w:rsid w:val="00CE3065"/>
    <w:rsid w:val="00CE4964"/>
    <w:rsid w:val="00CE7E55"/>
    <w:rsid w:val="00CF42EE"/>
    <w:rsid w:val="00CF7790"/>
    <w:rsid w:val="00D03A01"/>
    <w:rsid w:val="00D1199D"/>
    <w:rsid w:val="00D12083"/>
    <w:rsid w:val="00D16765"/>
    <w:rsid w:val="00D17567"/>
    <w:rsid w:val="00D21DC7"/>
    <w:rsid w:val="00D22CF5"/>
    <w:rsid w:val="00D2359E"/>
    <w:rsid w:val="00D3313C"/>
    <w:rsid w:val="00D361D5"/>
    <w:rsid w:val="00D37110"/>
    <w:rsid w:val="00D45BC0"/>
    <w:rsid w:val="00D47B85"/>
    <w:rsid w:val="00D51C73"/>
    <w:rsid w:val="00D5209A"/>
    <w:rsid w:val="00D55132"/>
    <w:rsid w:val="00D57E51"/>
    <w:rsid w:val="00D60837"/>
    <w:rsid w:val="00D61DC9"/>
    <w:rsid w:val="00D64813"/>
    <w:rsid w:val="00D651C2"/>
    <w:rsid w:val="00D65245"/>
    <w:rsid w:val="00D67BEA"/>
    <w:rsid w:val="00D7095E"/>
    <w:rsid w:val="00D71517"/>
    <w:rsid w:val="00D72667"/>
    <w:rsid w:val="00D72A29"/>
    <w:rsid w:val="00D801AD"/>
    <w:rsid w:val="00D82306"/>
    <w:rsid w:val="00D83A08"/>
    <w:rsid w:val="00D8755A"/>
    <w:rsid w:val="00D9001B"/>
    <w:rsid w:val="00D9006A"/>
    <w:rsid w:val="00D9454C"/>
    <w:rsid w:val="00D94DFA"/>
    <w:rsid w:val="00DA4663"/>
    <w:rsid w:val="00DC2366"/>
    <w:rsid w:val="00DC2BF7"/>
    <w:rsid w:val="00DC3E98"/>
    <w:rsid w:val="00DC5D61"/>
    <w:rsid w:val="00DD2EB3"/>
    <w:rsid w:val="00DD4366"/>
    <w:rsid w:val="00DD5496"/>
    <w:rsid w:val="00DD652E"/>
    <w:rsid w:val="00DE1FE0"/>
    <w:rsid w:val="00DE5CDC"/>
    <w:rsid w:val="00DE679F"/>
    <w:rsid w:val="00DF58F4"/>
    <w:rsid w:val="00E047D6"/>
    <w:rsid w:val="00E07609"/>
    <w:rsid w:val="00E1418E"/>
    <w:rsid w:val="00E146D3"/>
    <w:rsid w:val="00E21000"/>
    <w:rsid w:val="00E21181"/>
    <w:rsid w:val="00E223D5"/>
    <w:rsid w:val="00E24AA9"/>
    <w:rsid w:val="00E2746C"/>
    <w:rsid w:val="00E31D30"/>
    <w:rsid w:val="00E43854"/>
    <w:rsid w:val="00E44D7B"/>
    <w:rsid w:val="00E46BE3"/>
    <w:rsid w:val="00E47467"/>
    <w:rsid w:val="00E479D6"/>
    <w:rsid w:val="00E47ACD"/>
    <w:rsid w:val="00E52DD9"/>
    <w:rsid w:val="00E543B1"/>
    <w:rsid w:val="00E60F26"/>
    <w:rsid w:val="00E807C1"/>
    <w:rsid w:val="00E8206C"/>
    <w:rsid w:val="00E877C1"/>
    <w:rsid w:val="00E90F72"/>
    <w:rsid w:val="00E91366"/>
    <w:rsid w:val="00E93830"/>
    <w:rsid w:val="00E94F7A"/>
    <w:rsid w:val="00EA15D9"/>
    <w:rsid w:val="00EA2AFA"/>
    <w:rsid w:val="00EA45CF"/>
    <w:rsid w:val="00EA5946"/>
    <w:rsid w:val="00EA7530"/>
    <w:rsid w:val="00EB2774"/>
    <w:rsid w:val="00EB7DE1"/>
    <w:rsid w:val="00EC476B"/>
    <w:rsid w:val="00EE097B"/>
    <w:rsid w:val="00EE1C37"/>
    <w:rsid w:val="00EE66E3"/>
    <w:rsid w:val="00EF06CB"/>
    <w:rsid w:val="00EF2A6D"/>
    <w:rsid w:val="00EF5538"/>
    <w:rsid w:val="00F016DC"/>
    <w:rsid w:val="00F02C4C"/>
    <w:rsid w:val="00F118ED"/>
    <w:rsid w:val="00F13A8F"/>
    <w:rsid w:val="00F158F1"/>
    <w:rsid w:val="00F15BDC"/>
    <w:rsid w:val="00F176C5"/>
    <w:rsid w:val="00F25D7F"/>
    <w:rsid w:val="00F272AB"/>
    <w:rsid w:val="00F3127E"/>
    <w:rsid w:val="00F37E8D"/>
    <w:rsid w:val="00F41079"/>
    <w:rsid w:val="00F4373E"/>
    <w:rsid w:val="00F444C9"/>
    <w:rsid w:val="00F45EB9"/>
    <w:rsid w:val="00F537E1"/>
    <w:rsid w:val="00F55BCD"/>
    <w:rsid w:val="00F6505F"/>
    <w:rsid w:val="00F6532D"/>
    <w:rsid w:val="00F717CF"/>
    <w:rsid w:val="00F71D24"/>
    <w:rsid w:val="00F71E56"/>
    <w:rsid w:val="00F73F39"/>
    <w:rsid w:val="00F74A65"/>
    <w:rsid w:val="00F76C86"/>
    <w:rsid w:val="00F86B80"/>
    <w:rsid w:val="00F90CF7"/>
    <w:rsid w:val="00F92743"/>
    <w:rsid w:val="00F96CDD"/>
    <w:rsid w:val="00FB01EF"/>
    <w:rsid w:val="00FB062B"/>
    <w:rsid w:val="00FB15F5"/>
    <w:rsid w:val="00FB2688"/>
    <w:rsid w:val="00FB49B0"/>
    <w:rsid w:val="00FB4D35"/>
    <w:rsid w:val="00FB4DA7"/>
    <w:rsid w:val="00FB5164"/>
    <w:rsid w:val="00FC29B3"/>
    <w:rsid w:val="00FD0BD2"/>
    <w:rsid w:val="00FD39BB"/>
    <w:rsid w:val="00FE11E3"/>
    <w:rsid w:val="00FE183F"/>
    <w:rsid w:val="00FE2461"/>
    <w:rsid w:val="00FE4F52"/>
    <w:rsid w:val="00FE7B37"/>
    <w:rsid w:val="00FE7CD1"/>
    <w:rsid w:val="00FF0AF4"/>
    <w:rsid w:val="00FF47D3"/>
    <w:rsid w:val="00FF602D"/>
    <w:rsid w:val="00FF79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7A47114"/>
  <w15:docId w15:val="{79D82CA5-4C15-4B26-B4A2-18E14A12F0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Title">
    <w:name w:val="Title"/>
    <w:basedOn w:val="Normal"/>
    <w:uiPriority w:val="10"/>
    <w:qFormat/>
    <w:pPr>
      <w:spacing w:before="28"/>
      <w:ind w:left="1665" w:right="1945"/>
      <w:jc w:val="center"/>
    </w:pPr>
    <w:rPr>
      <w:b/>
      <w:bCs/>
      <w:sz w:val="36"/>
      <w:szCs w:val="36"/>
    </w:rPr>
  </w:style>
  <w:style w:type="paragraph" w:styleId="ListParagraph">
    <w:name w:val="List Paragraph"/>
    <w:basedOn w:val="Normal"/>
    <w:uiPriority w:val="34"/>
    <w:qFormat/>
  </w:style>
  <w:style w:type="paragraph" w:customStyle="1" w:styleId="TableParagraph">
    <w:name w:val="Table Paragraph"/>
    <w:basedOn w:val="Normal"/>
    <w:uiPriority w:val="1"/>
    <w:qFormat/>
    <w:pPr>
      <w:ind w:left="119"/>
    </w:pPr>
  </w:style>
  <w:style w:type="paragraph" w:styleId="Header">
    <w:name w:val="header"/>
    <w:basedOn w:val="Normal"/>
    <w:link w:val="HeaderChar"/>
    <w:uiPriority w:val="99"/>
    <w:unhideWhenUsed/>
    <w:rsid w:val="00963E6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63E6F"/>
    <w:rPr>
      <w:rFonts w:ascii="Calibri" w:eastAsia="Calibri" w:hAnsi="Calibri" w:cs="Calibri"/>
    </w:rPr>
  </w:style>
  <w:style w:type="paragraph" w:styleId="Footer">
    <w:name w:val="footer"/>
    <w:basedOn w:val="Normal"/>
    <w:link w:val="FooterChar"/>
    <w:uiPriority w:val="99"/>
    <w:unhideWhenUsed/>
    <w:rsid w:val="00963E6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63E6F"/>
    <w:rPr>
      <w:rFonts w:ascii="Calibri" w:eastAsia="Calibri" w:hAnsi="Calibri" w:cs="Calibri"/>
    </w:rPr>
  </w:style>
  <w:style w:type="character" w:styleId="Hyperlink">
    <w:name w:val="Hyperlink"/>
    <w:basedOn w:val="DefaultParagraphFont"/>
    <w:uiPriority w:val="99"/>
    <w:unhideWhenUsed/>
    <w:rsid w:val="00D37110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37110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A9159F"/>
    <w:rPr>
      <w:rFonts w:ascii="Times New Roman" w:hAnsi="Times New Roman" w:cs="Times New Roman"/>
      <w:sz w:val="24"/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5E1C32"/>
    <w:rPr>
      <w:color w:val="800080" w:themeColor="followedHyperlink"/>
      <w:u w:val="single"/>
    </w:rPr>
  </w:style>
  <w:style w:type="table" w:styleId="TableGrid">
    <w:name w:val="Table Grid"/>
    <w:basedOn w:val="TableNormal"/>
    <w:uiPriority w:val="39"/>
    <w:rsid w:val="0046419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40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5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0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89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55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708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0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26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3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9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259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3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37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4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8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14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83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92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972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07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14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49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6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65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9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18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1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529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hyperlink" Target="http://www.centerforjobs.org/ca.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364</TotalTime>
  <Pages>3</Pages>
  <Words>614</Words>
  <Characters>3502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Brooke Armour</dc:creator>
  <cp:lastModifiedBy>Michael Kahoe</cp:lastModifiedBy>
  <cp:revision>5</cp:revision>
  <cp:lastPrinted>2022-07-22T23:17:00Z</cp:lastPrinted>
  <dcterms:created xsi:type="dcterms:W3CDTF">2026-04-03T18:25:00Z</dcterms:created>
  <dcterms:modified xsi:type="dcterms:W3CDTF">2026-05-01T20:37:00Z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2022-06-28T00:00:00Z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2022-07-21T00:00:00Z</vt:filetime>
  </property>
  <property fmtid="{D5CDD505-2E9C-101B-9397-08002B2CF9AE}" pid="5" name="Producer">
    <vt:lpwstr>Microsoft® Word for Microsoft 365</vt:lpwstr>
  </property>
</Properties>
</file>