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142"/>
        <w:gridCol w:w="2603"/>
        <w:gridCol w:w="2615"/>
      </w:tblGrid>
      <w:tr w:rsidR="006E04AB" w:rsidRPr="006E04AB" w14:paraId="09ACF376" w14:textId="77777777" w:rsidTr="006E04AB">
        <w:trPr>
          <w:trHeight w:val="12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3CC99" w14:textId="77777777" w:rsidR="006E04AB" w:rsidRPr="006E04AB" w:rsidRDefault="006E04AB" w:rsidP="006E04AB">
            <w:pPr>
              <w:jc w:val="center"/>
              <w:rPr>
                <w:rFonts w:ascii="Georgia" w:eastAsia="Times New Roman" w:hAnsi="Georgia" w:cs="Calibri"/>
                <w:color w:val="53BA2D"/>
                <w:kern w:val="0"/>
                <w:sz w:val="48"/>
                <w:szCs w:val="48"/>
                <w14:ligatures w14:val="none"/>
              </w:rPr>
            </w:pPr>
            <w:r w:rsidRPr="006E04AB">
              <w:rPr>
                <w:rFonts w:ascii="Georgia" w:eastAsia="Times New Roman" w:hAnsi="Georgia" w:cs="Calibri"/>
                <w:color w:val="53BA2D"/>
                <w:kern w:val="0"/>
                <w:sz w:val="48"/>
                <w:szCs w:val="48"/>
                <w14:ligatures w14:val="none"/>
              </w:rPr>
              <w:t>California Trade Report</w:t>
            </w:r>
          </w:p>
        </w:tc>
      </w:tr>
      <w:tr w:rsidR="006E04AB" w:rsidRPr="006E04AB" w14:paraId="0AEA5D47" w14:textId="77777777" w:rsidTr="006E04AB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49C3B" w14:textId="77777777" w:rsidR="006E04AB" w:rsidRPr="006E04AB" w:rsidRDefault="006E04AB" w:rsidP="006E04AB">
            <w:pPr>
              <w:jc w:val="center"/>
              <w:rPr>
                <w:rFonts w:ascii="Georgia" w:eastAsia="Times New Roman" w:hAnsi="Georgia" w:cs="Calibri"/>
                <w:color w:val="53BA2D"/>
                <w:kern w:val="0"/>
                <w:sz w:val="48"/>
                <w:szCs w:val="48"/>
                <w14:ligatures w14:val="none"/>
              </w:rPr>
            </w:pPr>
            <w:r w:rsidRPr="006E04AB">
              <w:rPr>
                <w:rFonts w:ascii="Georgia" w:eastAsia="Times New Roman" w:hAnsi="Georgia" w:cs="Calibri"/>
                <w:color w:val="53BA2D"/>
                <w:kern w:val="0"/>
                <w:sz w:val="48"/>
                <w:szCs w:val="48"/>
                <w14:ligatures w14:val="none"/>
              </w:rPr>
              <w:t>for April 2026</w:t>
            </w:r>
          </w:p>
        </w:tc>
      </w:tr>
      <w:tr w:rsidR="006E04AB" w:rsidRPr="006E04AB" w14:paraId="63EE76D5" w14:textId="77777777" w:rsidTr="006E04AB">
        <w:trPr>
          <w:trHeight w:val="57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9181A" w14:textId="77777777" w:rsidR="006E04AB" w:rsidRPr="006E04AB" w:rsidRDefault="006E04AB" w:rsidP="006E04AB">
            <w:pPr>
              <w:jc w:val="center"/>
              <w:rPr>
                <w:rFonts w:ascii="Georgia" w:eastAsia="Times New Roman" w:hAnsi="Georgia" w:cs="Calibri"/>
                <w:color w:val="53BA2D"/>
                <w:kern w:val="0"/>
                <w:sz w:val="48"/>
                <w:szCs w:val="48"/>
                <w14:ligatures w14:val="none"/>
              </w:rPr>
            </w:pPr>
          </w:p>
        </w:tc>
      </w:tr>
      <w:tr w:rsidR="006E04AB" w:rsidRPr="006E04AB" w14:paraId="30F19ED9" w14:textId="77777777" w:rsidTr="006E04AB">
        <w:trPr>
          <w:trHeight w:val="94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EE18E" w14:textId="52433296" w:rsidR="006E04AB" w:rsidRDefault="006E04AB" w:rsidP="006E04A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Below are highlights from the recently released trade data from the US Census Bureau and US Bureau of Economic Analysis.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The data reflects the annual revision process, with the trade data revised beginning in 2021.  </w:t>
            </w:r>
            <w:r w:rsidRPr="006E04A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To view additional data and analysis related to the California economy visit our website at </w:t>
            </w:r>
            <w:hyperlink r:id="rId4" w:history="1">
              <w:r w:rsidRPr="001F4C44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www.centerforjobs.org/ca</w:t>
              </w:r>
            </w:hyperlink>
            <w:r w:rsidRPr="006E04AB">
              <w:rPr>
                <w:rFonts w:ascii="Calibri" w:eastAsia="Times New Roman" w:hAnsi="Calibri" w:cs="Calibri"/>
                <w:kern w:val="0"/>
                <w14:ligatures w14:val="none"/>
              </w:rPr>
              <w:t>.</w:t>
            </w:r>
          </w:p>
          <w:p w14:paraId="14E88DFC" w14:textId="77777777" w:rsidR="006E04AB" w:rsidRDefault="006E04AB" w:rsidP="006E04A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01259847" w14:textId="01D105BF" w:rsidR="006E04AB" w:rsidRDefault="006E04AB" w:rsidP="006E04A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Total trade through the state’s ports remained strong in April, with trade levels in the first 4 months of the year at their highest measured in both nominal and real terms.  California’s share of total US goods trade (on a 12-month moving average basis) rose for the 4</w:t>
            </w:r>
            <w:r w:rsidRPr="006E04AB">
              <w:rPr>
                <w:rFonts w:ascii="Calibri" w:eastAsia="Times New Roman" w:hAnsi="Calibri" w:cs="Calibri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month in a row to 16.92%, still well below the state’s historic peaks but the highest since January 2022.</w:t>
            </w:r>
          </w:p>
          <w:p w14:paraId="59300678" w14:textId="77777777" w:rsidR="006E04AB" w:rsidRDefault="006E04AB" w:rsidP="006E04A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01110878" w14:textId="0D6827EA" w:rsidR="006E04AB" w:rsidRDefault="006E04AB" w:rsidP="006E04AB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drawing>
                <wp:inline distT="0" distB="0" distL="0" distR="0" wp14:anchorId="4E9C63C5" wp14:editId="76FD811B">
                  <wp:extent cx="3992466" cy="2461993"/>
                  <wp:effectExtent l="0" t="0" r="8255" b="0"/>
                  <wp:docPr id="197224294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9598" cy="24663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146C6C" w14:textId="77777777" w:rsidR="006E04AB" w:rsidRDefault="006E04AB" w:rsidP="006E04AB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98E265E" w14:textId="6C151C3B" w:rsidR="006E04AB" w:rsidRDefault="006E04AB" w:rsidP="006E04AB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lastRenderedPageBreak/>
              <w:drawing>
                <wp:inline distT="0" distB="0" distL="0" distR="0" wp14:anchorId="5C81CE39" wp14:editId="035D02C0">
                  <wp:extent cx="3984515" cy="2452136"/>
                  <wp:effectExtent l="0" t="0" r="0" b="5715"/>
                  <wp:docPr id="169745108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358" cy="24575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59276C" w14:textId="77777777" w:rsidR="006E04AB" w:rsidRDefault="006E04AB" w:rsidP="006E04AB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2F87948" w14:textId="77777777" w:rsidR="00AA64BB" w:rsidRDefault="006E04AB" w:rsidP="006E04A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State origin exports were off $1.2 billion (-6.7%) compared to the prior month, but were up </w:t>
            </w:r>
            <w:r w:rsidR="00AA64B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$1.2 billion (7.7%) compared to the same month in 2025.  Destination imports were little changed over the month (down $0.6 billion (-1.3%)) but were up sharply ($4.4 billion (11.5%)) compared to April 2025.  </w:t>
            </w:r>
          </w:p>
          <w:p w14:paraId="1FA6FFFF" w14:textId="77777777" w:rsidR="00AA64BB" w:rsidRDefault="00AA64BB" w:rsidP="006E04A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7C3A5271" w14:textId="342C280A" w:rsidR="00AA64BB" w:rsidRDefault="00AA64BB" w:rsidP="006E04A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Trade price levels rose higher.  Import prices (all goods) were up 27.9% on an annualized basis for the month and 4.3% for the year.  Reflecting the growing importance of energy exports to other states, export prices (all goods) were substantially higher, at 47.6% on an annualized basis for the month and 8.8% over the year.</w:t>
            </w:r>
          </w:p>
          <w:p w14:paraId="2BA5514B" w14:textId="77777777" w:rsidR="00AA64BB" w:rsidRDefault="00AA64BB" w:rsidP="006E04A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4B276C52" w14:textId="4A686E8A" w:rsidR="006E04AB" w:rsidRDefault="00AA64BB" w:rsidP="00AA64BB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drawing>
                <wp:inline distT="0" distB="0" distL="0" distR="0" wp14:anchorId="63D46CD7" wp14:editId="4CE26819">
                  <wp:extent cx="3960073" cy="2353586"/>
                  <wp:effectExtent l="0" t="0" r="2540" b="8890"/>
                  <wp:docPr id="14601692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7323" cy="2363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1C9CB9" w14:textId="77777777" w:rsidR="00AA64BB" w:rsidRDefault="00AA64BB" w:rsidP="00AA64BB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03810D57" w14:textId="0BCC26F0" w:rsidR="00AA64BB" w:rsidRDefault="00AA64BB" w:rsidP="00AA64BB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lastRenderedPageBreak/>
              <w:drawing>
                <wp:inline distT="0" distB="0" distL="0" distR="0" wp14:anchorId="1A2B3F72" wp14:editId="6DF3DD9F">
                  <wp:extent cx="3992604" cy="2343705"/>
                  <wp:effectExtent l="0" t="0" r="8255" b="0"/>
                  <wp:docPr id="2474700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468" cy="234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87AFC1" w14:textId="77777777" w:rsidR="00AA64BB" w:rsidRDefault="00AA64BB" w:rsidP="00AA64BB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50789FBF" w14:textId="0DF26E26" w:rsidR="006E04AB" w:rsidRDefault="00AA64BB" w:rsidP="006E04A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Removing the more volatile energy component, import prices for other goods showed substantially more moderation, rising 2.9% over the year.</w:t>
            </w:r>
          </w:p>
          <w:p w14:paraId="313279B8" w14:textId="77777777" w:rsidR="00AA64BB" w:rsidRDefault="00AA64BB" w:rsidP="006E04AB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1FA9C119" w14:textId="77777777" w:rsidR="006E04AB" w:rsidRDefault="00AA64BB" w:rsidP="004D6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14:ligatures w14:val="none"/>
              </w:rPr>
              <w:drawing>
                <wp:inline distT="0" distB="0" distL="0" distR="0" wp14:anchorId="02FB8F4E" wp14:editId="60AB18FE">
                  <wp:extent cx="4006905" cy="2381420"/>
                  <wp:effectExtent l="0" t="0" r="0" b="0"/>
                  <wp:docPr id="182521831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2678" cy="23848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51BDF7" w14:textId="686E40B1" w:rsidR="004D6F48" w:rsidRPr="006E04AB" w:rsidRDefault="004D6F48" w:rsidP="004D6F48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6E04AB" w:rsidRPr="006E04AB" w14:paraId="20CFD2A8" w14:textId="77777777" w:rsidTr="006E04AB">
        <w:trPr>
          <w:trHeight w:val="6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316D5" w14:textId="77777777" w:rsidR="006E04AB" w:rsidRPr="006E04AB" w:rsidRDefault="006E04AB" w:rsidP="006E04AB">
            <w:pPr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</w:pPr>
            <w:r w:rsidRPr="006E04AB"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  <w:lastRenderedPageBreak/>
              <w:t xml:space="preserve">Share of Goods through US Ports </w:t>
            </w:r>
          </w:p>
        </w:tc>
      </w:tr>
      <w:tr w:rsidR="006E04AB" w:rsidRPr="006E04AB" w14:paraId="77866151" w14:textId="77777777" w:rsidTr="006E04AB">
        <w:trPr>
          <w:trHeight w:val="12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1325F" w14:textId="77777777" w:rsidR="006E04AB" w:rsidRPr="006E04AB" w:rsidRDefault="006E04AB" w:rsidP="006E04AB">
            <w:pPr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</w:pPr>
          </w:p>
        </w:tc>
      </w:tr>
      <w:tr w:rsidR="006E04AB" w:rsidRPr="006E04AB" w14:paraId="7B706663" w14:textId="77777777" w:rsidTr="00AA64BB">
        <w:trPr>
          <w:trHeight w:val="1305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05576" w14:textId="77777777" w:rsidR="006E04AB" w:rsidRPr="006E04AB" w:rsidRDefault="006E04AB" w:rsidP="006E04AB">
            <w:pPr>
              <w:jc w:val="center"/>
              <w:rPr>
                <w:rFonts w:ascii="Arial" w:eastAsia="Times New Roman" w:hAnsi="Arial" w:cs="Arial"/>
                <w:b/>
                <w:bCs/>
                <w:color w:val="4197D6"/>
                <w:kern w:val="0"/>
                <w:sz w:val="63"/>
                <w:szCs w:val="63"/>
                <w14:ligatures w14:val="none"/>
              </w:rPr>
            </w:pPr>
            <w:r w:rsidRPr="006E04AB">
              <w:rPr>
                <w:rFonts w:ascii="Arial" w:eastAsia="Times New Roman" w:hAnsi="Arial" w:cs="Arial"/>
                <w:b/>
                <w:bCs/>
                <w:color w:val="4197D6"/>
                <w:kern w:val="0"/>
                <w:sz w:val="63"/>
                <w:szCs w:val="63"/>
                <w14:ligatures w14:val="none"/>
              </w:rPr>
              <w:t>16.9%</w:t>
            </w:r>
          </w:p>
        </w:tc>
        <w:tc>
          <w:tcPr>
            <w:tcW w:w="27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B8595" w14:textId="6829857C" w:rsidR="006E04AB" w:rsidRPr="006E04AB" w:rsidRDefault="006E04AB" w:rsidP="006E04AB">
            <w:pPr>
              <w:rPr>
                <w:rFonts w:ascii="Arial" w:eastAsia="Times New Roman" w:hAnsi="Arial" w:cs="Arial"/>
                <w:color w:val="212121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212121"/>
                <w:kern w:val="0"/>
                <w:sz w:val="23"/>
                <w:szCs w:val="23"/>
                <w14:ligatures w14:val="none"/>
              </w:rPr>
              <w:t>The share of total US goods trade (exports and imports) through California ports edged up to 16.92% (12 month moving average; compared to 16.56% in Mar</w:t>
            </w:r>
            <w:r w:rsidR="004D6F48">
              <w:rPr>
                <w:rFonts w:ascii="Arial" w:eastAsia="Times New Roman" w:hAnsi="Arial" w:cs="Arial"/>
                <w:color w:val="212121"/>
                <w:kern w:val="0"/>
                <w:sz w:val="23"/>
                <w:szCs w:val="23"/>
                <w14:ligatures w14:val="none"/>
              </w:rPr>
              <w:t>ch</w:t>
            </w:r>
            <w:r w:rsidRPr="006E04AB">
              <w:rPr>
                <w:rFonts w:ascii="Arial" w:eastAsia="Times New Roman" w:hAnsi="Arial" w:cs="Arial"/>
                <w:color w:val="212121"/>
                <w:kern w:val="0"/>
                <w:sz w:val="23"/>
                <w:szCs w:val="23"/>
                <w14:ligatures w14:val="none"/>
              </w:rPr>
              <w:t xml:space="preserve"> 2026 and 16.62% in Apr</w:t>
            </w:r>
            <w:r w:rsidR="004D6F48">
              <w:rPr>
                <w:rFonts w:ascii="Arial" w:eastAsia="Times New Roman" w:hAnsi="Arial" w:cs="Arial"/>
                <w:color w:val="212121"/>
                <w:kern w:val="0"/>
                <w:sz w:val="23"/>
                <w:szCs w:val="23"/>
                <w14:ligatures w14:val="none"/>
              </w:rPr>
              <w:t>il</w:t>
            </w:r>
            <w:r w:rsidRPr="006E04AB">
              <w:rPr>
                <w:rFonts w:ascii="Arial" w:eastAsia="Times New Roman" w:hAnsi="Arial" w:cs="Arial"/>
                <w:color w:val="212121"/>
                <w:kern w:val="0"/>
                <w:sz w:val="23"/>
                <w:szCs w:val="23"/>
                <w14:ligatures w14:val="none"/>
              </w:rPr>
              <w:t xml:space="preserve"> 2025).</w:t>
            </w:r>
          </w:p>
        </w:tc>
      </w:tr>
      <w:tr w:rsidR="006E04AB" w:rsidRPr="006E04AB" w14:paraId="23BAA1EB" w14:textId="77777777" w:rsidTr="00AA64BB">
        <w:trPr>
          <w:trHeight w:val="225"/>
        </w:trPr>
        <w:tc>
          <w:tcPr>
            <w:tcW w:w="2213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4EC30" w14:textId="77777777" w:rsidR="006E04AB" w:rsidRPr="006E04AB" w:rsidRDefault="006E04AB" w:rsidP="006E04AB">
            <w:pPr>
              <w:jc w:val="center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  <w:t>CA Share of Total Trade</w:t>
            </w:r>
            <w:r w:rsidRPr="006E04AB"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  <w:br/>
              <w:t xml:space="preserve">Through US Ports 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5A99C" w14:textId="77777777" w:rsidR="006E04AB" w:rsidRPr="006E04AB" w:rsidRDefault="006E04AB" w:rsidP="006E04AB">
            <w:pPr>
              <w:jc w:val="center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73AE" w14:textId="77777777" w:rsidR="006E04AB" w:rsidRPr="006E04AB" w:rsidRDefault="006E04AB" w:rsidP="006E04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04AB" w:rsidRPr="006E04AB" w14:paraId="4A1016C9" w14:textId="77777777" w:rsidTr="00AA64BB">
        <w:trPr>
          <w:trHeight w:val="2700"/>
        </w:trPr>
        <w:tc>
          <w:tcPr>
            <w:tcW w:w="221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287B1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7C6A8B" w14:textId="6BDFA456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California remained the #2 state, behind Texas which had a 22.02% share (compared to 20.59% in Mar</w:t>
            </w:r>
            <w:r w:rsidR="004D6F4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ch</w:t>
            </w: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2026 and 19.38% in Apr</w:t>
            </w:r>
            <w:r w:rsidR="004D6F4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il</w:t>
            </w: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2025). Trade through the Atlantic port states was at 29.85% (compared to 29.24% in Mar</w:t>
            </w:r>
            <w:r w:rsidR="004D6F4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ch</w:t>
            </w: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2026 and 30.08% in Apr</w:t>
            </w:r>
            <w:r w:rsidR="004D6F4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il</w:t>
            </w: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2025). These trade flows form the trade-related base for one of California’s largest centers of middle-class, blue-collar jobs. </w:t>
            </w:r>
          </w:p>
        </w:tc>
      </w:tr>
      <w:tr w:rsidR="006E04AB" w:rsidRPr="006E04AB" w14:paraId="4A98F1AE" w14:textId="77777777" w:rsidTr="006E04AB">
        <w:trPr>
          <w:trHeight w:val="1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46F103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6E04AB" w:rsidRPr="006E04AB" w14:paraId="0C7F7E16" w14:textId="77777777" w:rsidTr="006E04AB">
        <w:trPr>
          <w:trHeight w:val="6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C8822" w14:textId="77777777" w:rsidR="006E04AB" w:rsidRPr="006E04AB" w:rsidRDefault="006E04AB" w:rsidP="006E04AB">
            <w:pPr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</w:pPr>
            <w:r w:rsidRPr="006E04AB"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  <w:t xml:space="preserve">California Goods Exports </w:t>
            </w:r>
          </w:p>
        </w:tc>
      </w:tr>
      <w:tr w:rsidR="006E04AB" w:rsidRPr="006E04AB" w14:paraId="614D57AE" w14:textId="77777777" w:rsidTr="00AA64BB">
        <w:trPr>
          <w:trHeight w:val="87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4BD87" w14:textId="77777777" w:rsidR="006E04AB" w:rsidRPr="006E04AB" w:rsidRDefault="006E04AB" w:rsidP="006E04AB">
            <w:pPr>
              <w:jc w:val="center"/>
              <w:rPr>
                <w:rFonts w:ascii="Arial" w:eastAsia="Times New Roman" w:hAnsi="Arial" w:cs="Arial"/>
                <w:b/>
                <w:bCs/>
                <w:color w:val="CB0911"/>
                <w:kern w:val="0"/>
                <w:sz w:val="63"/>
                <w:szCs w:val="63"/>
                <w14:ligatures w14:val="none"/>
              </w:rPr>
            </w:pPr>
            <w:r w:rsidRPr="006E04AB">
              <w:rPr>
                <w:rFonts w:ascii="Arial" w:eastAsia="Times New Roman" w:hAnsi="Arial" w:cs="Arial"/>
                <w:b/>
                <w:bCs/>
                <w:color w:val="CB0911"/>
                <w:kern w:val="0"/>
                <w:sz w:val="63"/>
                <w:szCs w:val="63"/>
                <w14:ligatures w14:val="none"/>
              </w:rPr>
              <w:t>$1.2</w:t>
            </w:r>
          </w:p>
        </w:tc>
        <w:tc>
          <w:tcPr>
            <w:tcW w:w="278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0B7ABF9" w14:textId="741736DA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Total California origin goods exports were down $1.2 billion from Apr</w:t>
            </w:r>
            <w:r w:rsidR="004D6F4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il</w:t>
            </w: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2025 (down 7.7%). California remained in 2nd place with 8.31% of all US goods exports (12 month moving total), behind Texas at 20.65%.</w:t>
            </w:r>
          </w:p>
        </w:tc>
      </w:tr>
      <w:tr w:rsidR="006E04AB" w:rsidRPr="006E04AB" w14:paraId="10D33118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A173" w14:textId="77777777" w:rsidR="006E04AB" w:rsidRPr="006E04AB" w:rsidRDefault="006E04AB" w:rsidP="006E04AB">
            <w:pPr>
              <w:jc w:val="center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  <w:t xml:space="preserve">Billion Change in Exports </w:t>
            </w:r>
          </w:p>
        </w:tc>
        <w:tc>
          <w:tcPr>
            <w:tcW w:w="278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3A08E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6E04AB" w:rsidRPr="006E04AB" w14:paraId="0C5D384B" w14:textId="77777777" w:rsidTr="006E04A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F2077" w14:textId="77777777" w:rsidR="006E04AB" w:rsidRPr="006E04AB" w:rsidRDefault="006E04AB" w:rsidP="006E04AB">
            <w:pPr>
              <w:jc w:val="center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</w:pPr>
          </w:p>
        </w:tc>
      </w:tr>
      <w:tr w:rsidR="006E04AB" w:rsidRPr="006E04AB" w14:paraId="53482D3F" w14:textId="77777777" w:rsidTr="006E04AB">
        <w:trPr>
          <w:trHeight w:val="46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55E86" w14:textId="77777777" w:rsidR="006E04AB" w:rsidRPr="006E04AB" w:rsidRDefault="006E04AB" w:rsidP="006E04AB">
            <w:pPr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</w:pPr>
            <w:r w:rsidRPr="006E04AB"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  <w:t xml:space="preserve">California Goods Imports </w:t>
            </w:r>
          </w:p>
        </w:tc>
      </w:tr>
      <w:tr w:rsidR="006E04AB" w:rsidRPr="006E04AB" w14:paraId="1AE25701" w14:textId="77777777" w:rsidTr="00AA64BB">
        <w:trPr>
          <w:trHeight w:val="732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C9964" w14:textId="77777777" w:rsidR="006E04AB" w:rsidRPr="006E04AB" w:rsidRDefault="006E04AB" w:rsidP="006E04AB">
            <w:pPr>
              <w:jc w:val="center"/>
              <w:rPr>
                <w:rFonts w:ascii="Arial" w:eastAsia="Times New Roman" w:hAnsi="Arial" w:cs="Arial"/>
                <w:b/>
                <w:bCs/>
                <w:color w:val="CB0911"/>
                <w:kern w:val="0"/>
                <w:sz w:val="63"/>
                <w:szCs w:val="63"/>
                <w14:ligatures w14:val="none"/>
              </w:rPr>
            </w:pPr>
            <w:r w:rsidRPr="004D6F48">
              <w:rPr>
                <w:rFonts w:ascii="Arial" w:eastAsia="Times New Roman" w:hAnsi="Arial" w:cs="Arial"/>
                <w:b/>
                <w:bCs/>
                <w:color w:val="0F9ED5" w:themeColor="accent4"/>
                <w:kern w:val="0"/>
                <w:sz w:val="63"/>
                <w:szCs w:val="63"/>
                <w14:ligatures w14:val="none"/>
              </w:rPr>
              <w:t>$4.4</w:t>
            </w:r>
          </w:p>
        </w:tc>
        <w:tc>
          <w:tcPr>
            <w:tcW w:w="278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3A16" w14:textId="38043542" w:rsidR="006E04AB" w:rsidRPr="006E04AB" w:rsidRDefault="006E04AB" w:rsidP="006E04AB">
            <w:pPr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  <w:t>Total California destination goods imports grew $4.4 billion from Apr</w:t>
            </w:r>
            <w:r w:rsidR="004D6F48"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  <w:t>il</w:t>
            </w:r>
            <w:r w:rsidRPr="006E04AB"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  <w:t xml:space="preserve"> 2025 (up 11.5%).</w:t>
            </w:r>
          </w:p>
        </w:tc>
      </w:tr>
      <w:tr w:rsidR="006E04AB" w:rsidRPr="006E04AB" w14:paraId="630E7926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8253" w14:textId="77777777" w:rsidR="006E04AB" w:rsidRPr="006E04AB" w:rsidRDefault="006E04AB" w:rsidP="006E04AB">
            <w:pPr>
              <w:jc w:val="center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  <w:t xml:space="preserve">Billion Change in Imports </w:t>
            </w:r>
          </w:p>
        </w:tc>
        <w:tc>
          <w:tcPr>
            <w:tcW w:w="278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4967F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</w:pPr>
          </w:p>
        </w:tc>
      </w:tr>
      <w:tr w:rsidR="006E04AB" w:rsidRPr="006E04AB" w14:paraId="6A553C0F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AA01D" w14:textId="77777777" w:rsidR="006E04AB" w:rsidRPr="006E04AB" w:rsidRDefault="006E04AB" w:rsidP="006E04AB">
            <w:pPr>
              <w:jc w:val="center"/>
              <w:rPr>
                <w:rFonts w:ascii="Arial" w:eastAsia="Times New Roman" w:hAnsi="Arial" w:cs="Arial"/>
                <w:color w:val="666666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554B" w14:textId="77777777" w:rsidR="006E04AB" w:rsidRPr="006E04AB" w:rsidRDefault="006E04AB" w:rsidP="006E04A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1982" w14:textId="77777777" w:rsidR="006E04AB" w:rsidRPr="006E04AB" w:rsidRDefault="006E04AB" w:rsidP="006E04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04AB" w:rsidRPr="006E04AB" w14:paraId="5D00685A" w14:textId="77777777" w:rsidTr="006E04AB">
        <w:trPr>
          <w:trHeight w:val="66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DEF40" w14:textId="77777777" w:rsidR="006E04AB" w:rsidRPr="006E04AB" w:rsidRDefault="006E04AB" w:rsidP="006E04AB">
            <w:pPr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</w:pPr>
            <w:r w:rsidRPr="006E04AB"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  <w:t>Top 20 Exports, April 2026</w:t>
            </w:r>
          </w:p>
        </w:tc>
      </w:tr>
      <w:tr w:rsidR="006E04AB" w:rsidRPr="006E04AB" w14:paraId="4A983103" w14:textId="77777777" w:rsidTr="006E04AB">
        <w:trPr>
          <w:trHeight w:val="94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0396E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Top 20 exports by value are shown below, along with the change from Apr 2025.</w:t>
            </w:r>
          </w:p>
        </w:tc>
      </w:tr>
      <w:tr w:rsidR="006E04AB" w:rsidRPr="006E04AB" w14:paraId="62A6F973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2A43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B34F0" w14:textId="77777777" w:rsidR="006E04AB" w:rsidRPr="006E04AB" w:rsidRDefault="006E04AB" w:rsidP="006E04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CAE9" w14:textId="77777777" w:rsidR="006E04AB" w:rsidRPr="006E04AB" w:rsidRDefault="006E04AB" w:rsidP="006E04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04AB" w:rsidRPr="006E04AB" w14:paraId="092D013F" w14:textId="77777777" w:rsidTr="00AA64BB">
        <w:trPr>
          <w:trHeight w:val="312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A272" w14:textId="77777777" w:rsidR="006E04AB" w:rsidRPr="006E04AB" w:rsidRDefault="006E04AB" w:rsidP="006E04A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NAICS Commodity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B7F1" w14:textId="77777777" w:rsidR="006E04AB" w:rsidRPr="006E04AB" w:rsidRDefault="006E04AB" w:rsidP="006E04A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Apr 2026 Exports ($b.)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9229" w14:textId="77777777" w:rsidR="006E04AB" w:rsidRPr="006E04AB" w:rsidRDefault="006E04AB" w:rsidP="006E04A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Change from Apr 2025</w:t>
            </w:r>
          </w:p>
        </w:tc>
      </w:tr>
      <w:tr w:rsidR="006E04AB" w:rsidRPr="006E04AB" w14:paraId="3B47F349" w14:textId="77777777" w:rsidTr="00AA64BB">
        <w:trPr>
          <w:trHeight w:val="27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572E7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Computer Equipment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5D76A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$1.9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5F2FE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31.8%</w:t>
            </w:r>
          </w:p>
        </w:tc>
      </w:tr>
      <w:tr w:rsidR="006E04AB" w:rsidRPr="006E04AB" w14:paraId="7F1A6F26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CF87B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Fruits &amp; Tree Nuts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57307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1.1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AC669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4.8%</w:t>
            </w:r>
          </w:p>
        </w:tc>
      </w:tr>
      <w:tr w:rsidR="006E04AB" w:rsidRPr="006E04AB" w14:paraId="7AEA92D9" w14:textId="77777777" w:rsidTr="00AA64BB">
        <w:trPr>
          <w:trHeight w:val="585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7102C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Aerospace Products &amp; Parts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43C21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1.0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39728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42.8%</w:t>
            </w:r>
          </w:p>
        </w:tc>
      </w:tr>
      <w:tr w:rsidR="006E04AB" w:rsidRPr="006E04AB" w14:paraId="2ECEDA1D" w14:textId="77777777" w:rsidTr="00AA64BB">
        <w:trPr>
          <w:trHeight w:val="315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08D50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Semiconductors &amp; Other Electronic Components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A00EA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0.9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D1FC74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38.4%</w:t>
            </w:r>
          </w:p>
        </w:tc>
      </w:tr>
      <w:tr w:rsidR="006E04AB" w:rsidRPr="006E04AB" w14:paraId="528726E9" w14:textId="77777777" w:rsidTr="00AA64BB">
        <w:trPr>
          <w:trHeight w:val="312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925A8F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Navigational/measuring/medical/control Instrument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8F97E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0.8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80C93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-3.3%</w:t>
            </w:r>
          </w:p>
        </w:tc>
      </w:tr>
      <w:tr w:rsidR="006E04AB" w:rsidRPr="006E04AB" w14:paraId="085788CB" w14:textId="77777777" w:rsidTr="00AA64BB">
        <w:trPr>
          <w:trHeight w:val="36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CABBD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Pharmaceuticals &amp; Medicines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53C25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0.6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0F9AF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-2.4%</w:t>
            </w:r>
          </w:p>
        </w:tc>
      </w:tr>
      <w:tr w:rsidR="006E04AB" w:rsidRPr="006E04AB" w14:paraId="7B118815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77B89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Communications Equipment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BAFB8F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0.6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146AF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-16.4%</w:t>
            </w:r>
          </w:p>
        </w:tc>
      </w:tr>
      <w:tr w:rsidR="006E04AB" w:rsidRPr="006E04AB" w14:paraId="15EC7E1C" w14:textId="77777777" w:rsidTr="00AA64BB">
        <w:trPr>
          <w:trHeight w:val="315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E7CAC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Petroleum &amp; Coal Products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1B3D1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0.5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C30E4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60.9%</w:t>
            </w:r>
          </w:p>
        </w:tc>
      </w:tr>
      <w:tr w:rsidR="006E04AB" w:rsidRPr="006E04AB" w14:paraId="62A6ABFF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EC593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lastRenderedPageBreak/>
              <w:t xml:space="preserve"> Medical Equipment &amp; Supplies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E643B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0.5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7FE61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-9.8%</w:t>
            </w:r>
          </w:p>
        </w:tc>
      </w:tr>
      <w:tr w:rsidR="006E04AB" w:rsidRPr="006E04AB" w14:paraId="476C336B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150E5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Electrical Equipment &amp; Components, Nesoi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93350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0.4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260E6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-15.0%</w:t>
            </w:r>
          </w:p>
        </w:tc>
      </w:tr>
      <w:tr w:rsidR="006E04AB" w:rsidRPr="006E04AB" w14:paraId="019EFC1F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D5DE0" w14:textId="0284CF79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Waste </w:t>
            </w:r>
            <w:r w:rsidR="004D6F48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&amp;</w:t>
            </w: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Scrap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71139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0.4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C900D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14.6%</w:t>
            </w:r>
          </w:p>
        </w:tc>
      </w:tr>
      <w:tr w:rsidR="006E04AB" w:rsidRPr="006E04AB" w14:paraId="1D6415B3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AE9FB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Industrial Machinery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F2F48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0.4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35AE14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-4.2%</w:t>
            </w:r>
          </w:p>
        </w:tc>
      </w:tr>
      <w:tr w:rsidR="006E04AB" w:rsidRPr="006E04AB" w14:paraId="21428937" w14:textId="77777777" w:rsidTr="00AA64BB">
        <w:trPr>
          <w:trHeight w:val="285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1451A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Commercial &amp; Service Industry Machinery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4BE73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0.4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B30F8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-21.1%</w:t>
            </w:r>
          </w:p>
        </w:tc>
      </w:tr>
      <w:tr w:rsidR="006E04AB" w:rsidRPr="006E04AB" w14:paraId="3F555AD2" w14:textId="77777777" w:rsidTr="00AA64BB">
        <w:trPr>
          <w:trHeight w:val="255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6C4D8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Other Fabricated Metal Products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A5F59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0.3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89ABF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6.7%</w:t>
            </w:r>
          </w:p>
        </w:tc>
      </w:tr>
      <w:tr w:rsidR="006E04AB" w:rsidRPr="006E04AB" w14:paraId="70611F7C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9F511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Motor Vehicle Parts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B71A7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0.3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403C3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0.9%</w:t>
            </w:r>
          </w:p>
        </w:tc>
      </w:tr>
      <w:tr w:rsidR="006E04AB" w:rsidRPr="006E04AB" w14:paraId="2B46C15A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1DB78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Transportation Equipment, Nesoi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D7B83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0.3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8202A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720.2%</w:t>
            </w:r>
          </w:p>
        </w:tc>
      </w:tr>
      <w:tr w:rsidR="006E04AB" w:rsidRPr="006E04AB" w14:paraId="2A9E36A9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46838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Miscellaneous Manufactured Commodities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F13F9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0.3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DF2F3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-11.9%</w:t>
            </w:r>
          </w:p>
        </w:tc>
      </w:tr>
      <w:tr w:rsidR="006E04AB" w:rsidRPr="006E04AB" w14:paraId="29B23F76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3B7E8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Electrical Equipment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2EFD6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0.3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7B332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27.4%</w:t>
            </w:r>
          </w:p>
        </w:tc>
      </w:tr>
      <w:tr w:rsidR="006E04AB" w:rsidRPr="006E04AB" w14:paraId="014B172C" w14:textId="77777777" w:rsidTr="00AA64BB">
        <w:trPr>
          <w:trHeight w:val="285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9517B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Other General Purpose Machinery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7BDB0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0.3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4F941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-27.1%</w:t>
            </w:r>
          </w:p>
        </w:tc>
      </w:tr>
      <w:tr w:rsidR="006E04AB" w:rsidRPr="006E04AB" w14:paraId="4544DFC9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49D78" w14:textId="77777777" w:rsidR="006E04AB" w:rsidRPr="006E04AB" w:rsidRDefault="006E04AB" w:rsidP="006E04AB">
            <w:pP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Basic Chemicals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9DE0F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0.3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8C61B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34.7%</w:t>
            </w:r>
          </w:p>
        </w:tc>
      </w:tr>
      <w:tr w:rsidR="006E04AB" w:rsidRPr="006E04AB" w14:paraId="68380CF1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0406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4A7E" w14:textId="77777777" w:rsidR="006E04AB" w:rsidRPr="006E04AB" w:rsidRDefault="006E04AB" w:rsidP="006E04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CEC4" w14:textId="77777777" w:rsidR="006E04AB" w:rsidRPr="006E04AB" w:rsidRDefault="006E04AB" w:rsidP="006E04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04AB" w:rsidRPr="006E04AB" w14:paraId="6D74E692" w14:textId="77777777" w:rsidTr="006E04AB">
        <w:trPr>
          <w:trHeight w:val="34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56E4A" w14:textId="77777777" w:rsidR="006E04AB" w:rsidRPr="006E04AB" w:rsidRDefault="006E04AB" w:rsidP="006E04AB">
            <w:pPr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</w:pPr>
            <w:r w:rsidRPr="006E04AB"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  <w:t>Top 10 Export Markets, April 2026</w:t>
            </w:r>
          </w:p>
        </w:tc>
      </w:tr>
      <w:tr w:rsidR="006E04AB" w:rsidRPr="006E04AB" w14:paraId="03F76C26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5923" w14:textId="77777777" w:rsidR="006E04AB" w:rsidRPr="006E04AB" w:rsidRDefault="006E04AB" w:rsidP="006E04AB">
            <w:pPr>
              <w:rPr>
                <w:rFonts w:ascii="Georgia" w:eastAsia="Times New Roman" w:hAnsi="Georgia" w:cs="Calibri"/>
                <w:color w:val="212121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7558" w14:textId="77777777" w:rsidR="006E04AB" w:rsidRPr="006E04AB" w:rsidRDefault="006E04AB" w:rsidP="006E04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A4CF" w14:textId="77777777" w:rsidR="006E04AB" w:rsidRPr="006E04AB" w:rsidRDefault="006E04AB" w:rsidP="006E04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E04AB" w:rsidRPr="006E04AB" w14:paraId="6114D9EA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A434" w14:textId="77777777" w:rsidR="006E04AB" w:rsidRPr="006E04AB" w:rsidRDefault="006E04AB" w:rsidP="006E04A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33CA" w14:textId="77777777" w:rsidR="006E04AB" w:rsidRPr="006E04AB" w:rsidRDefault="006E04AB" w:rsidP="006E04A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Apr 2026 Exports ($b.)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7824" w14:textId="77777777" w:rsidR="006E04AB" w:rsidRPr="006E04AB" w:rsidRDefault="006E04AB" w:rsidP="006E04A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Change from Apr 2025</w:t>
            </w:r>
          </w:p>
        </w:tc>
      </w:tr>
      <w:tr w:rsidR="006E04AB" w:rsidRPr="006E04AB" w14:paraId="28D4D82F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C1DE" w14:textId="77777777" w:rsidR="006E04AB" w:rsidRPr="006E04AB" w:rsidRDefault="006E04AB" w:rsidP="006E04A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Mexico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25604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$2.8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A8E60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4.2%</w:t>
            </w:r>
          </w:p>
        </w:tc>
      </w:tr>
      <w:tr w:rsidR="006E04AB" w:rsidRPr="006E04AB" w14:paraId="55196109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5EB7" w14:textId="77777777" w:rsidR="006E04AB" w:rsidRPr="006E04AB" w:rsidRDefault="006E04AB" w:rsidP="006E04A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Taiwan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C4B93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C2FFB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26.3%</w:t>
            </w:r>
          </w:p>
        </w:tc>
      </w:tr>
      <w:tr w:rsidR="006E04AB" w:rsidRPr="006E04AB" w14:paraId="0ACA38D6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8098" w14:textId="77777777" w:rsidR="006E04AB" w:rsidRPr="006E04AB" w:rsidRDefault="006E04AB" w:rsidP="006E04A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Canada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E1764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43ECD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-13.7%</w:t>
            </w:r>
          </w:p>
        </w:tc>
      </w:tr>
      <w:tr w:rsidR="006E04AB" w:rsidRPr="006E04AB" w14:paraId="3113C65C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0EAF" w14:textId="77777777" w:rsidR="006E04AB" w:rsidRPr="006E04AB" w:rsidRDefault="006E04AB" w:rsidP="006E04A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Japan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7181B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4970E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15.2%</w:t>
            </w:r>
          </w:p>
        </w:tc>
      </w:tr>
      <w:tr w:rsidR="006E04AB" w:rsidRPr="006E04AB" w14:paraId="7804CFEA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7BD4" w14:textId="77777777" w:rsidR="006E04AB" w:rsidRPr="006E04AB" w:rsidRDefault="006E04AB" w:rsidP="006E04A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China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46E00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CC4C0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-4.2%</w:t>
            </w:r>
          </w:p>
        </w:tc>
      </w:tr>
      <w:tr w:rsidR="006E04AB" w:rsidRPr="006E04AB" w14:paraId="1D46DEA8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3FDD" w14:textId="77777777" w:rsidR="006E04AB" w:rsidRPr="006E04AB" w:rsidRDefault="006E04AB" w:rsidP="006E04A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Korea, South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3E4DD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0.7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FDB8F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-2.5%</w:t>
            </w:r>
          </w:p>
        </w:tc>
      </w:tr>
      <w:tr w:rsidR="006E04AB" w:rsidRPr="006E04AB" w14:paraId="6DCD455B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A77A" w14:textId="77777777" w:rsidR="006E04AB" w:rsidRPr="006E04AB" w:rsidRDefault="006E04AB" w:rsidP="006E04A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Netherlands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9DC200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0.7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822D7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-10.3%</w:t>
            </w:r>
          </w:p>
        </w:tc>
      </w:tr>
      <w:tr w:rsidR="006E04AB" w:rsidRPr="006E04AB" w14:paraId="2B6FD400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9730" w14:textId="77777777" w:rsidR="006E04AB" w:rsidRPr="006E04AB" w:rsidRDefault="006E04AB" w:rsidP="006E04A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Singapore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6F244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78EED9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40.7%</w:t>
            </w:r>
          </w:p>
        </w:tc>
      </w:tr>
      <w:tr w:rsidR="006E04AB" w:rsidRPr="006E04AB" w14:paraId="650A90CC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BD51" w14:textId="77777777" w:rsidR="006E04AB" w:rsidRPr="006E04AB" w:rsidRDefault="006E04AB" w:rsidP="006E04A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Germany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FCAE8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7F122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2.5%</w:t>
            </w:r>
          </w:p>
        </w:tc>
      </w:tr>
      <w:tr w:rsidR="006E04AB" w:rsidRPr="006E04AB" w14:paraId="0358906C" w14:textId="77777777" w:rsidTr="00AA64BB">
        <w:trPr>
          <w:trHeight w:val="300"/>
        </w:trPr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CE14" w14:textId="77777777" w:rsidR="006E04AB" w:rsidRPr="006E04AB" w:rsidRDefault="006E04AB" w:rsidP="006E04A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E04A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Hong Kong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BCBA8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09F35" w14:textId="77777777" w:rsidR="006E04AB" w:rsidRPr="006E04AB" w:rsidRDefault="006E04AB" w:rsidP="006E04A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6E04AB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32.6%</w:t>
            </w:r>
          </w:p>
        </w:tc>
      </w:tr>
    </w:tbl>
    <w:p w14:paraId="043CF4AE" w14:textId="77777777" w:rsidR="002E6EE0" w:rsidRDefault="002E6EE0"/>
    <w:sectPr w:rsidR="002E6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C3"/>
    <w:rsid w:val="002C0DED"/>
    <w:rsid w:val="002E6EE0"/>
    <w:rsid w:val="00415018"/>
    <w:rsid w:val="0045523A"/>
    <w:rsid w:val="00484077"/>
    <w:rsid w:val="004D6F48"/>
    <w:rsid w:val="00596941"/>
    <w:rsid w:val="005D246E"/>
    <w:rsid w:val="00637123"/>
    <w:rsid w:val="006E04AB"/>
    <w:rsid w:val="006E22D4"/>
    <w:rsid w:val="008217C3"/>
    <w:rsid w:val="009569AC"/>
    <w:rsid w:val="00AA64BB"/>
    <w:rsid w:val="00B35B21"/>
    <w:rsid w:val="00BA103A"/>
    <w:rsid w:val="00BC140C"/>
    <w:rsid w:val="00C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F29E"/>
  <w15:chartTrackingRefBased/>
  <w15:docId w15:val="{5439ECE5-481E-47B4-8414-F598FF5E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ED"/>
    <w:pPr>
      <w:spacing w:line="240" w:lineRule="auto"/>
    </w:pPr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40C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46E"/>
    <w:pPr>
      <w:keepNext/>
      <w:keepLines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140C"/>
    <w:pPr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7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7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7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7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7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7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96941"/>
    <w:rPr>
      <w:i/>
      <w:iCs/>
      <w:color w:val="0E2841" w:themeColor="text2"/>
      <w:kern w:val="0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C140C"/>
    <w:rPr>
      <w:rFonts w:ascii="Garamond" w:eastAsiaTheme="majorEastAsia" w:hAnsi="Garamond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246E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140C"/>
    <w:rPr>
      <w:rFonts w:ascii="Garamond" w:hAnsi="Garamond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7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7C3"/>
    <w:rPr>
      <w:rFonts w:ascii="Garamond" w:hAnsi="Garamond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7C3"/>
    <w:rPr>
      <w:rFonts w:ascii="Garamond" w:hAnsi="Garamond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7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04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centerforjobs.org/ca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Kahoe</dc:creator>
  <cp:keywords/>
  <dc:description/>
  <cp:lastModifiedBy>Michael Kahoe</cp:lastModifiedBy>
  <cp:revision>2</cp:revision>
  <dcterms:created xsi:type="dcterms:W3CDTF">2026-06-10T00:23:00Z</dcterms:created>
  <dcterms:modified xsi:type="dcterms:W3CDTF">2026-06-10T00:46:00Z</dcterms:modified>
</cp:coreProperties>
</file>