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2085"/>
        <w:gridCol w:w="4610"/>
        <w:gridCol w:w="1474"/>
        <w:gridCol w:w="1191"/>
      </w:tblGrid>
      <w:tr w:rsidR="00082E66" w:rsidRPr="00082E66" w14:paraId="32A45D1E" w14:textId="77777777" w:rsidTr="00E06415">
        <w:trPr>
          <w:trHeight w:val="600"/>
        </w:trPr>
        <w:tc>
          <w:tcPr>
            <w:tcW w:w="5000" w:type="pct"/>
            <w:gridSpan w:val="4"/>
            <w:tcBorders>
              <w:top w:val="nil"/>
              <w:left w:val="nil"/>
              <w:bottom w:val="nil"/>
              <w:right w:val="nil"/>
            </w:tcBorders>
            <w:vAlign w:val="bottom"/>
            <w:hideMark/>
          </w:tcPr>
          <w:p w14:paraId="6A2BF008" w14:textId="77777777" w:rsidR="00082E66" w:rsidRPr="00082E66" w:rsidRDefault="00082E66" w:rsidP="00082E66">
            <w:pPr>
              <w:jc w:val="center"/>
              <w:rPr>
                <w:rFonts w:ascii="Georgia" w:eastAsia="Times New Roman" w:hAnsi="Georgia" w:cs="Calibri"/>
                <w:color w:val="53BA2D"/>
                <w:kern w:val="0"/>
                <w:sz w:val="48"/>
                <w:szCs w:val="48"/>
                <w14:ligatures w14:val="none"/>
              </w:rPr>
            </w:pPr>
            <w:r w:rsidRPr="00082E66">
              <w:rPr>
                <w:rFonts w:ascii="Georgia" w:eastAsia="Times New Roman" w:hAnsi="Georgia" w:cs="Calibri"/>
                <w:color w:val="53BA2D"/>
                <w:kern w:val="0"/>
                <w:sz w:val="48"/>
                <w:szCs w:val="48"/>
                <w14:ligatures w14:val="none"/>
              </w:rPr>
              <w:t>California Energy Price Data for</w:t>
            </w:r>
          </w:p>
        </w:tc>
      </w:tr>
      <w:tr w:rsidR="00082E66" w:rsidRPr="00082E66" w14:paraId="7DF4F29A" w14:textId="77777777" w:rsidTr="00E06415">
        <w:trPr>
          <w:trHeight w:val="600"/>
        </w:trPr>
        <w:tc>
          <w:tcPr>
            <w:tcW w:w="5000" w:type="pct"/>
            <w:gridSpan w:val="4"/>
            <w:tcBorders>
              <w:top w:val="nil"/>
              <w:left w:val="nil"/>
              <w:bottom w:val="nil"/>
              <w:right w:val="nil"/>
            </w:tcBorders>
            <w:vAlign w:val="bottom"/>
            <w:hideMark/>
          </w:tcPr>
          <w:p w14:paraId="66950530" w14:textId="77777777" w:rsidR="00082E66" w:rsidRPr="00082E66" w:rsidRDefault="00082E66" w:rsidP="00082E66">
            <w:pPr>
              <w:jc w:val="center"/>
              <w:rPr>
                <w:rFonts w:ascii="Georgia" w:eastAsia="Times New Roman" w:hAnsi="Georgia" w:cs="Calibri"/>
                <w:b/>
                <w:bCs/>
                <w:color w:val="92D050"/>
                <w:kern w:val="0"/>
                <w:sz w:val="48"/>
                <w:szCs w:val="48"/>
                <w14:ligatures w14:val="none"/>
              </w:rPr>
            </w:pPr>
            <w:r w:rsidRPr="00082E66">
              <w:rPr>
                <w:rFonts w:ascii="Georgia" w:eastAsia="Times New Roman" w:hAnsi="Georgia" w:cs="Calibri"/>
                <w:b/>
                <w:bCs/>
                <w:color w:val="92D050"/>
                <w:kern w:val="0"/>
                <w:sz w:val="48"/>
                <w:szCs w:val="48"/>
                <w14:ligatures w14:val="none"/>
              </w:rPr>
              <w:t>December 2025</w:t>
            </w:r>
          </w:p>
        </w:tc>
      </w:tr>
      <w:tr w:rsidR="00082E66" w:rsidRPr="00082E66" w14:paraId="511BE8DB" w14:textId="77777777" w:rsidTr="00E05C17">
        <w:trPr>
          <w:trHeight w:val="300"/>
        </w:trPr>
        <w:tc>
          <w:tcPr>
            <w:tcW w:w="1114" w:type="pct"/>
            <w:tcBorders>
              <w:top w:val="nil"/>
              <w:left w:val="nil"/>
              <w:bottom w:val="nil"/>
              <w:right w:val="nil"/>
            </w:tcBorders>
            <w:vAlign w:val="bottom"/>
            <w:hideMark/>
          </w:tcPr>
          <w:p w14:paraId="390BFAED" w14:textId="77777777" w:rsidR="00082E66" w:rsidRPr="00082E66" w:rsidRDefault="00082E66" w:rsidP="00082E66">
            <w:pPr>
              <w:jc w:val="center"/>
              <w:rPr>
                <w:rFonts w:ascii="Georgia" w:eastAsia="Times New Roman" w:hAnsi="Georgia" w:cs="Calibri"/>
                <w:b/>
                <w:bCs/>
                <w:color w:val="92D050"/>
                <w:kern w:val="0"/>
                <w:sz w:val="48"/>
                <w:szCs w:val="48"/>
                <w14:ligatures w14:val="none"/>
              </w:rPr>
            </w:pPr>
          </w:p>
        </w:tc>
        <w:tc>
          <w:tcPr>
            <w:tcW w:w="2462" w:type="pct"/>
            <w:tcBorders>
              <w:top w:val="nil"/>
              <w:left w:val="nil"/>
              <w:bottom w:val="nil"/>
              <w:right w:val="nil"/>
            </w:tcBorders>
            <w:noWrap/>
            <w:vAlign w:val="bottom"/>
            <w:hideMark/>
          </w:tcPr>
          <w:p w14:paraId="1BA62F0A"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noWrap/>
            <w:vAlign w:val="bottom"/>
            <w:hideMark/>
          </w:tcPr>
          <w:p w14:paraId="51675D69"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057769A1"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2016A4CA" w14:textId="77777777" w:rsidTr="00E05C17">
        <w:trPr>
          <w:trHeight w:val="300"/>
        </w:trPr>
        <w:tc>
          <w:tcPr>
            <w:tcW w:w="1114" w:type="pct"/>
            <w:tcBorders>
              <w:top w:val="nil"/>
              <w:left w:val="nil"/>
              <w:bottom w:val="nil"/>
              <w:right w:val="nil"/>
            </w:tcBorders>
            <w:vAlign w:val="bottom"/>
            <w:hideMark/>
          </w:tcPr>
          <w:p w14:paraId="36C0E935"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2462" w:type="pct"/>
            <w:tcBorders>
              <w:top w:val="nil"/>
              <w:left w:val="nil"/>
              <w:bottom w:val="nil"/>
              <w:right w:val="nil"/>
            </w:tcBorders>
            <w:noWrap/>
            <w:vAlign w:val="bottom"/>
            <w:hideMark/>
          </w:tcPr>
          <w:p w14:paraId="21BF7351"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noWrap/>
            <w:vAlign w:val="bottom"/>
            <w:hideMark/>
          </w:tcPr>
          <w:p w14:paraId="48B7B4D4"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4AA11104"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23659834" w14:textId="77777777" w:rsidTr="00E06415">
        <w:trPr>
          <w:trHeight w:val="900"/>
        </w:trPr>
        <w:tc>
          <w:tcPr>
            <w:tcW w:w="5000" w:type="pct"/>
            <w:gridSpan w:val="4"/>
            <w:tcBorders>
              <w:top w:val="nil"/>
              <w:left w:val="nil"/>
              <w:bottom w:val="nil"/>
              <w:right w:val="nil"/>
            </w:tcBorders>
            <w:vAlign w:val="bottom"/>
            <w:hideMark/>
          </w:tcPr>
          <w:p w14:paraId="42753E33" w14:textId="25ED91B4" w:rsid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 xml:space="preserve">Below are the monthly updates from the most current December 2025 fuel price data (GasBuddy.com) and October 2025 electricity and natural gas price data (US Energy Information Administration). To view additional data and analysis related to the California economy visit our website at </w:t>
            </w:r>
            <w:hyperlink r:id="rId5" w:history="1">
              <w:r w:rsidR="004F0D26" w:rsidRPr="00AC1E2A">
                <w:rPr>
                  <w:rStyle w:val="Hyperlink"/>
                  <w:rFonts w:ascii="Calibri" w:eastAsia="Times New Roman" w:hAnsi="Calibri" w:cs="Calibri"/>
                  <w:kern w:val="0"/>
                  <w14:ligatures w14:val="none"/>
                </w:rPr>
                <w:t>www.centerforjobs.org/ca</w:t>
              </w:r>
            </w:hyperlink>
            <w:r w:rsidRPr="00082E66">
              <w:rPr>
                <w:rFonts w:ascii="Calibri" w:eastAsia="Times New Roman" w:hAnsi="Calibri" w:cs="Calibri"/>
                <w:color w:val="000000"/>
                <w:kern w:val="0"/>
                <w14:ligatures w14:val="none"/>
              </w:rPr>
              <w:t>.</w:t>
            </w:r>
          </w:p>
          <w:p w14:paraId="155133DF" w14:textId="77777777" w:rsidR="004F0D26" w:rsidRDefault="004F0D26" w:rsidP="00082E66">
            <w:pPr>
              <w:rPr>
                <w:rFonts w:ascii="Calibri" w:eastAsia="Times New Roman" w:hAnsi="Calibri" w:cs="Calibri"/>
                <w:color w:val="000000"/>
                <w:kern w:val="0"/>
                <w14:ligatures w14:val="none"/>
              </w:rPr>
            </w:pPr>
          </w:p>
          <w:p w14:paraId="3DC934E6" w14:textId="19BF7DB7" w:rsidR="004F0D26" w:rsidRDefault="004F0D26" w:rsidP="004F0D26">
            <w:pPr>
              <w:rPr>
                <w:rFonts w:ascii="Calibri" w:eastAsia="Times New Roman" w:hAnsi="Calibri" w:cs="Calibri"/>
                <w:color w:val="000000"/>
                <w:kern w:val="0"/>
                <w14:ligatures w14:val="none"/>
              </w:rPr>
            </w:pPr>
            <w:r w:rsidRPr="004F0D26">
              <w:rPr>
                <w:rFonts w:ascii="Calibri" w:eastAsia="Times New Roman" w:hAnsi="Calibri" w:cs="Calibri"/>
                <w:color w:val="000000"/>
                <w:kern w:val="0"/>
                <w14:ligatures w14:val="none"/>
              </w:rPr>
              <w:t>California’s energy cost rankings</w:t>
            </w:r>
            <w:r>
              <w:rPr>
                <w:rFonts w:ascii="Calibri" w:eastAsia="Times New Roman" w:hAnsi="Calibri" w:cs="Calibri"/>
                <w:color w:val="000000"/>
                <w:kern w:val="0"/>
                <w14:ligatures w14:val="none"/>
              </w:rPr>
              <w:t xml:space="preserve"> again</w:t>
            </w:r>
            <w:r w:rsidRPr="004F0D26">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 xml:space="preserve">generally </w:t>
            </w:r>
            <w:r w:rsidRPr="004F0D26">
              <w:rPr>
                <w:rFonts w:ascii="Calibri" w:eastAsia="Times New Roman" w:hAnsi="Calibri" w:cs="Calibri"/>
                <w:color w:val="000000"/>
                <w:kern w:val="0"/>
                <w14:ligatures w14:val="none"/>
              </w:rPr>
              <w:t xml:space="preserve">remained unchanged even with the changeover to the less costly and higher supply producing winter formulations for fuels.  </w:t>
            </w:r>
            <w:r w:rsidR="00640922">
              <w:rPr>
                <w:rFonts w:ascii="Calibri" w:eastAsia="Times New Roman" w:hAnsi="Calibri" w:cs="Calibri"/>
                <w:color w:val="000000"/>
                <w:kern w:val="0"/>
                <w14:ligatures w14:val="none"/>
              </w:rPr>
              <w:t xml:space="preserve">As </w:t>
            </w:r>
            <w:r w:rsidR="00A659BD">
              <w:rPr>
                <w:rFonts w:ascii="Calibri" w:eastAsia="Times New Roman" w:hAnsi="Calibri" w:cs="Calibri"/>
                <w:color w:val="000000"/>
                <w:kern w:val="0"/>
                <w14:ligatures w14:val="none"/>
              </w:rPr>
              <w:t>in</w:t>
            </w:r>
            <w:r w:rsidR="00640922">
              <w:rPr>
                <w:rFonts w:ascii="Calibri" w:eastAsia="Times New Roman" w:hAnsi="Calibri" w:cs="Calibri"/>
                <w:color w:val="000000"/>
                <w:kern w:val="0"/>
                <w14:ligatures w14:val="none"/>
              </w:rPr>
              <w:t xml:space="preserve"> the past few months, the average</w:t>
            </w:r>
            <w:r w:rsidRPr="004F0D26">
              <w:rPr>
                <w:rFonts w:ascii="Calibri" w:eastAsia="Times New Roman" w:hAnsi="Calibri" w:cs="Calibri"/>
                <w:color w:val="000000"/>
                <w:kern w:val="0"/>
                <w14:ligatures w14:val="none"/>
              </w:rPr>
              <w:t xml:space="preserve"> electricity bill </w:t>
            </w:r>
            <w:r w:rsidR="00A659BD">
              <w:rPr>
                <w:rFonts w:ascii="Calibri" w:eastAsia="Times New Roman" w:hAnsi="Calibri" w:cs="Calibri"/>
                <w:color w:val="000000"/>
                <w:kern w:val="0"/>
                <w14:ligatures w14:val="none"/>
              </w:rPr>
              <w:t xml:space="preserve">rank </w:t>
            </w:r>
            <w:r w:rsidRPr="004F0D26">
              <w:rPr>
                <w:rFonts w:ascii="Calibri" w:eastAsia="Times New Roman" w:hAnsi="Calibri" w:cs="Calibri"/>
                <w:color w:val="000000"/>
                <w:kern w:val="0"/>
                <w14:ligatures w14:val="none"/>
              </w:rPr>
              <w:t xml:space="preserve">again showed marginal improvement as costs continued to rise elsewhere in the country as the result of </w:t>
            </w:r>
            <w:r w:rsidR="00640922">
              <w:rPr>
                <w:rFonts w:ascii="Calibri" w:eastAsia="Times New Roman" w:hAnsi="Calibri" w:cs="Calibri"/>
                <w:color w:val="000000"/>
                <w:kern w:val="0"/>
                <w14:ligatures w14:val="none"/>
              </w:rPr>
              <w:t xml:space="preserve">fall and winter weather combined with factors such as </w:t>
            </w:r>
            <w:r w:rsidRPr="004F0D26">
              <w:rPr>
                <w:rFonts w:ascii="Calibri" w:eastAsia="Times New Roman" w:hAnsi="Calibri" w:cs="Calibri"/>
                <w:color w:val="000000"/>
                <w:kern w:val="0"/>
                <w14:ligatures w14:val="none"/>
              </w:rPr>
              <w:t xml:space="preserve">natural gas pipeline restrictions in some states.  </w:t>
            </w:r>
          </w:p>
          <w:p w14:paraId="003368C5" w14:textId="77777777" w:rsidR="00640922" w:rsidRDefault="00640922" w:rsidP="004F0D26">
            <w:pPr>
              <w:rPr>
                <w:rFonts w:ascii="Calibri" w:eastAsia="Times New Roman" w:hAnsi="Calibri" w:cs="Calibri"/>
                <w:color w:val="000000"/>
                <w:kern w:val="0"/>
                <w14:ligatures w14:val="none"/>
              </w:rPr>
            </w:pPr>
          </w:p>
          <w:p w14:paraId="1FBCA729" w14:textId="77777777" w:rsidR="004F0D26" w:rsidRPr="00082E66" w:rsidRDefault="004F0D26" w:rsidP="00640922">
            <w:pPr>
              <w:rPr>
                <w:rFonts w:ascii="Calibri" w:eastAsia="Times New Roman" w:hAnsi="Calibri" w:cs="Calibri"/>
                <w:color w:val="000000"/>
                <w:kern w:val="0"/>
                <w14:ligatures w14:val="none"/>
              </w:rPr>
            </w:pPr>
          </w:p>
        </w:tc>
      </w:tr>
      <w:tr w:rsidR="00082E66" w:rsidRPr="00082E66" w14:paraId="385DB776" w14:textId="77777777" w:rsidTr="00E05C17">
        <w:trPr>
          <w:trHeight w:val="315"/>
        </w:trPr>
        <w:tc>
          <w:tcPr>
            <w:tcW w:w="1114" w:type="pct"/>
            <w:tcBorders>
              <w:top w:val="nil"/>
              <w:left w:val="nil"/>
              <w:bottom w:val="nil"/>
              <w:right w:val="nil"/>
            </w:tcBorders>
            <w:vAlign w:val="bottom"/>
            <w:hideMark/>
          </w:tcPr>
          <w:p w14:paraId="25F71CD4" w14:textId="77777777" w:rsidR="00082E66" w:rsidRPr="00082E66" w:rsidRDefault="00082E66" w:rsidP="00082E66">
            <w:pPr>
              <w:spacing w:after="240"/>
              <w:rPr>
                <w:rFonts w:ascii="Calibri" w:eastAsia="Times New Roman" w:hAnsi="Calibri" w:cs="Calibri"/>
                <w:color w:val="000000"/>
                <w:kern w:val="0"/>
                <w14:ligatures w14:val="none"/>
              </w:rPr>
            </w:pPr>
          </w:p>
        </w:tc>
        <w:tc>
          <w:tcPr>
            <w:tcW w:w="2462" w:type="pct"/>
            <w:vMerge w:val="restart"/>
            <w:tcBorders>
              <w:top w:val="single" w:sz="8" w:space="0" w:color="auto"/>
              <w:left w:val="nil"/>
              <w:bottom w:val="single" w:sz="8" w:space="0" w:color="000000"/>
              <w:right w:val="nil"/>
            </w:tcBorders>
            <w:shd w:val="clear" w:color="000000" w:fill="FFFFFF"/>
            <w:noWrap/>
            <w:vAlign w:val="center"/>
            <w:hideMark/>
          </w:tcPr>
          <w:p w14:paraId="1419A8D7" w14:textId="77777777" w:rsidR="00082E66" w:rsidRPr="00082E66" w:rsidRDefault="00082E66" w:rsidP="00082E66">
            <w:pPr>
              <w:rPr>
                <w:rFonts w:ascii="Calibri" w:eastAsia="Times New Roman" w:hAnsi="Calibri" w:cs="Calibri"/>
                <w:b/>
                <w:bCs/>
                <w:color w:val="000000"/>
                <w:kern w:val="0"/>
                <w:sz w:val="20"/>
                <w:szCs w:val="20"/>
                <w14:ligatures w14:val="none"/>
              </w:rPr>
            </w:pPr>
            <w:r w:rsidRPr="00082E66">
              <w:rPr>
                <w:rFonts w:ascii="Calibri" w:eastAsia="Times New Roman" w:hAnsi="Calibri" w:cs="Calibri"/>
                <w:b/>
                <w:bCs/>
                <w:color w:val="000000"/>
                <w:kern w:val="0"/>
                <w:sz w:val="20"/>
                <w:szCs w:val="20"/>
                <w14:ligatures w14:val="none"/>
              </w:rPr>
              <w:t>Energy Price (12-month moving average; fuels monthly)</w:t>
            </w:r>
          </w:p>
        </w:tc>
        <w:tc>
          <w:tcPr>
            <w:tcW w:w="1424" w:type="pct"/>
            <w:gridSpan w:val="2"/>
            <w:tcBorders>
              <w:top w:val="single" w:sz="8" w:space="0" w:color="auto"/>
              <w:left w:val="nil"/>
              <w:bottom w:val="single" w:sz="8" w:space="0" w:color="auto"/>
              <w:right w:val="nil"/>
            </w:tcBorders>
            <w:shd w:val="clear" w:color="000000" w:fill="FFFFFF"/>
            <w:noWrap/>
            <w:vAlign w:val="center"/>
            <w:hideMark/>
          </w:tcPr>
          <w:p w14:paraId="376EFFF2" w14:textId="77777777" w:rsidR="00082E66" w:rsidRPr="00082E66" w:rsidRDefault="00082E66" w:rsidP="00082E66">
            <w:pPr>
              <w:jc w:val="center"/>
              <w:rPr>
                <w:rFonts w:ascii="Calibri" w:eastAsia="Times New Roman" w:hAnsi="Calibri" w:cs="Calibri"/>
                <w:b/>
                <w:bCs/>
                <w:color w:val="000000"/>
                <w:kern w:val="0"/>
                <w:sz w:val="20"/>
                <w:szCs w:val="20"/>
                <w14:ligatures w14:val="none"/>
              </w:rPr>
            </w:pPr>
            <w:r w:rsidRPr="00082E66">
              <w:rPr>
                <w:rFonts w:ascii="Calibri" w:eastAsia="Times New Roman" w:hAnsi="Calibri" w:cs="Calibri"/>
                <w:b/>
                <w:bCs/>
                <w:color w:val="000000"/>
                <w:kern w:val="0"/>
                <w:sz w:val="20"/>
                <w:szCs w:val="20"/>
                <w14:ligatures w14:val="none"/>
              </w:rPr>
              <w:t>Rank Among Contiguous States</w:t>
            </w:r>
          </w:p>
        </w:tc>
      </w:tr>
      <w:tr w:rsidR="00082E66" w:rsidRPr="00082E66" w14:paraId="46A4050B" w14:textId="77777777" w:rsidTr="00E05C17">
        <w:trPr>
          <w:trHeight w:val="465"/>
        </w:trPr>
        <w:tc>
          <w:tcPr>
            <w:tcW w:w="1114" w:type="pct"/>
            <w:tcBorders>
              <w:top w:val="nil"/>
              <w:left w:val="nil"/>
              <w:bottom w:val="nil"/>
              <w:right w:val="nil"/>
            </w:tcBorders>
            <w:vAlign w:val="bottom"/>
            <w:hideMark/>
          </w:tcPr>
          <w:p w14:paraId="7E540DD1" w14:textId="77777777" w:rsidR="00082E66" w:rsidRPr="00082E66" w:rsidRDefault="00082E66" w:rsidP="00082E66">
            <w:pPr>
              <w:jc w:val="center"/>
              <w:rPr>
                <w:rFonts w:ascii="Calibri" w:eastAsia="Times New Roman" w:hAnsi="Calibri" w:cs="Calibri"/>
                <w:b/>
                <w:bCs/>
                <w:color w:val="000000"/>
                <w:kern w:val="0"/>
                <w:sz w:val="20"/>
                <w:szCs w:val="20"/>
                <w14:ligatures w14:val="none"/>
              </w:rPr>
            </w:pPr>
          </w:p>
        </w:tc>
        <w:tc>
          <w:tcPr>
            <w:tcW w:w="2462" w:type="pct"/>
            <w:vMerge/>
            <w:tcBorders>
              <w:top w:val="single" w:sz="8" w:space="0" w:color="auto"/>
              <w:left w:val="nil"/>
              <w:bottom w:val="single" w:sz="8" w:space="0" w:color="000000"/>
              <w:right w:val="nil"/>
            </w:tcBorders>
            <w:vAlign w:val="center"/>
            <w:hideMark/>
          </w:tcPr>
          <w:p w14:paraId="79A316F7" w14:textId="77777777" w:rsidR="00082E66" w:rsidRPr="00082E66" w:rsidRDefault="00082E66" w:rsidP="00082E66">
            <w:pPr>
              <w:rPr>
                <w:rFonts w:ascii="Calibri" w:eastAsia="Times New Roman" w:hAnsi="Calibri" w:cs="Calibri"/>
                <w:b/>
                <w:bCs/>
                <w:color w:val="000000"/>
                <w:kern w:val="0"/>
                <w:sz w:val="20"/>
                <w:szCs w:val="20"/>
                <w14:ligatures w14:val="none"/>
              </w:rPr>
            </w:pPr>
          </w:p>
        </w:tc>
        <w:tc>
          <w:tcPr>
            <w:tcW w:w="788" w:type="pct"/>
            <w:tcBorders>
              <w:top w:val="nil"/>
              <w:left w:val="nil"/>
              <w:bottom w:val="single" w:sz="8" w:space="0" w:color="auto"/>
              <w:right w:val="nil"/>
            </w:tcBorders>
            <w:shd w:val="clear" w:color="000000" w:fill="FFFFFF"/>
            <w:noWrap/>
            <w:vAlign w:val="center"/>
            <w:hideMark/>
          </w:tcPr>
          <w:p w14:paraId="00B4EE4E" w14:textId="77777777" w:rsidR="00082E66" w:rsidRPr="00082E66" w:rsidRDefault="00082E66" w:rsidP="00082E66">
            <w:pPr>
              <w:jc w:val="center"/>
              <w:rPr>
                <w:rFonts w:ascii="Calibri" w:eastAsia="Times New Roman" w:hAnsi="Calibri" w:cs="Calibri"/>
                <w:color w:val="000000"/>
                <w:kern w:val="0"/>
                <w:sz w:val="16"/>
                <w:szCs w:val="16"/>
                <w14:ligatures w14:val="none"/>
              </w:rPr>
            </w:pPr>
            <w:r w:rsidRPr="00082E66">
              <w:rPr>
                <w:rFonts w:ascii="Calibri" w:eastAsia="Times New Roman" w:hAnsi="Calibri" w:cs="Calibri"/>
                <w:color w:val="000000"/>
                <w:kern w:val="0"/>
                <w:sz w:val="16"/>
                <w:szCs w:val="16"/>
                <w14:ligatures w14:val="none"/>
              </w:rPr>
              <w:t>Current Month</w:t>
            </w:r>
          </w:p>
        </w:tc>
        <w:tc>
          <w:tcPr>
            <w:tcW w:w="636" w:type="pct"/>
            <w:tcBorders>
              <w:top w:val="nil"/>
              <w:left w:val="nil"/>
              <w:bottom w:val="single" w:sz="8" w:space="0" w:color="auto"/>
              <w:right w:val="nil"/>
            </w:tcBorders>
            <w:shd w:val="clear" w:color="000000" w:fill="FFFFFF"/>
            <w:noWrap/>
            <w:vAlign w:val="center"/>
            <w:hideMark/>
          </w:tcPr>
          <w:p w14:paraId="3826E175" w14:textId="77777777" w:rsidR="00082E66" w:rsidRPr="00082E66" w:rsidRDefault="00082E66" w:rsidP="00082E66">
            <w:pPr>
              <w:jc w:val="center"/>
              <w:rPr>
                <w:rFonts w:ascii="Calibri" w:eastAsia="Times New Roman" w:hAnsi="Calibri" w:cs="Calibri"/>
                <w:color w:val="000000"/>
                <w:kern w:val="0"/>
                <w:sz w:val="16"/>
                <w:szCs w:val="16"/>
                <w14:ligatures w14:val="none"/>
              </w:rPr>
            </w:pPr>
            <w:r w:rsidRPr="00082E66">
              <w:rPr>
                <w:rFonts w:ascii="Calibri" w:eastAsia="Times New Roman" w:hAnsi="Calibri" w:cs="Calibri"/>
                <w:color w:val="000000"/>
                <w:kern w:val="0"/>
                <w:sz w:val="16"/>
                <w:szCs w:val="16"/>
                <w14:ligatures w14:val="none"/>
              </w:rPr>
              <w:t>Previous Month</w:t>
            </w:r>
          </w:p>
        </w:tc>
      </w:tr>
      <w:tr w:rsidR="00082E66" w:rsidRPr="00082E66" w14:paraId="220C94C5" w14:textId="77777777" w:rsidTr="00E05C17">
        <w:trPr>
          <w:trHeight w:val="300"/>
        </w:trPr>
        <w:tc>
          <w:tcPr>
            <w:tcW w:w="1114" w:type="pct"/>
            <w:tcBorders>
              <w:top w:val="nil"/>
              <w:left w:val="nil"/>
              <w:bottom w:val="nil"/>
              <w:right w:val="nil"/>
            </w:tcBorders>
            <w:vAlign w:val="bottom"/>
            <w:hideMark/>
          </w:tcPr>
          <w:p w14:paraId="1D625D80" w14:textId="77777777" w:rsidR="00082E66" w:rsidRPr="00082E66" w:rsidRDefault="00082E66" w:rsidP="00082E66">
            <w:pPr>
              <w:jc w:val="center"/>
              <w:rPr>
                <w:rFonts w:ascii="Calibri" w:eastAsia="Times New Roman" w:hAnsi="Calibri" w:cs="Calibri"/>
                <w:color w:val="000000"/>
                <w:kern w:val="0"/>
                <w:sz w:val="16"/>
                <w:szCs w:val="16"/>
                <w14:ligatures w14:val="none"/>
              </w:rPr>
            </w:pPr>
          </w:p>
        </w:tc>
        <w:tc>
          <w:tcPr>
            <w:tcW w:w="2462" w:type="pct"/>
            <w:tcBorders>
              <w:top w:val="nil"/>
              <w:left w:val="nil"/>
              <w:bottom w:val="nil"/>
              <w:right w:val="nil"/>
            </w:tcBorders>
            <w:shd w:val="clear" w:color="000000" w:fill="FFFFFF"/>
            <w:noWrap/>
            <w:vAlign w:val="center"/>
            <w:hideMark/>
          </w:tcPr>
          <w:p w14:paraId="61A9BD8E" w14:textId="77777777" w:rsidR="00082E66" w:rsidRPr="00082E66" w:rsidRDefault="00082E66" w:rsidP="00082E66">
            <w:pPr>
              <w:rPr>
                <w:rFonts w:ascii="Calibri" w:eastAsia="Times New Roman" w:hAnsi="Calibri" w:cs="Calibri"/>
                <w:color w:val="000000"/>
                <w:kern w:val="0"/>
                <w:sz w:val="20"/>
                <w:szCs w:val="20"/>
                <w14:ligatures w14:val="none"/>
              </w:rPr>
            </w:pPr>
            <w:r w:rsidRPr="00082E66">
              <w:rPr>
                <w:rFonts w:ascii="Calibri" w:eastAsia="Times New Roman" w:hAnsi="Calibri" w:cs="Calibri"/>
                <w:color w:val="000000"/>
                <w:kern w:val="0"/>
                <w:sz w:val="20"/>
                <w:szCs w:val="20"/>
                <w14:ligatures w14:val="none"/>
              </w:rPr>
              <w:t>Residential Electricity Rate</w:t>
            </w:r>
          </w:p>
        </w:tc>
        <w:tc>
          <w:tcPr>
            <w:tcW w:w="788" w:type="pct"/>
            <w:tcBorders>
              <w:top w:val="nil"/>
              <w:left w:val="nil"/>
              <w:bottom w:val="nil"/>
              <w:right w:val="nil"/>
            </w:tcBorders>
            <w:shd w:val="clear" w:color="000000" w:fill="FFFFFF"/>
            <w:noWrap/>
            <w:vAlign w:val="center"/>
            <w:hideMark/>
          </w:tcPr>
          <w:p w14:paraId="47D9EA6B" w14:textId="77777777" w:rsidR="00082E66" w:rsidRPr="00082E66" w:rsidRDefault="00082E66" w:rsidP="00082E66">
            <w:pPr>
              <w:jc w:val="center"/>
              <w:rPr>
                <w:rFonts w:ascii="Calibri" w:eastAsia="Times New Roman" w:hAnsi="Calibri" w:cs="Calibri"/>
                <w:color w:val="FF0000"/>
                <w:kern w:val="0"/>
                <w:sz w:val="20"/>
                <w:szCs w:val="20"/>
                <w14:ligatures w14:val="none"/>
              </w:rPr>
            </w:pPr>
            <w:r w:rsidRPr="00082E66">
              <w:rPr>
                <w:rFonts w:ascii="Calibri" w:eastAsia="Times New Roman" w:hAnsi="Calibri" w:cs="Calibri"/>
                <w:color w:val="FF0000"/>
                <w:kern w:val="0"/>
                <w:sz w:val="20"/>
                <w:szCs w:val="20"/>
                <w14:ligatures w14:val="none"/>
              </w:rPr>
              <w:t>1</w:t>
            </w:r>
          </w:p>
        </w:tc>
        <w:tc>
          <w:tcPr>
            <w:tcW w:w="636" w:type="pct"/>
            <w:tcBorders>
              <w:top w:val="nil"/>
              <w:left w:val="nil"/>
              <w:bottom w:val="nil"/>
              <w:right w:val="nil"/>
            </w:tcBorders>
            <w:shd w:val="clear" w:color="000000" w:fill="FFFFFF"/>
            <w:noWrap/>
            <w:vAlign w:val="center"/>
            <w:hideMark/>
          </w:tcPr>
          <w:p w14:paraId="0E02F20D" w14:textId="77777777" w:rsidR="00082E66" w:rsidRPr="00082E66" w:rsidRDefault="00082E66" w:rsidP="00082E66">
            <w:pPr>
              <w:jc w:val="center"/>
              <w:rPr>
                <w:rFonts w:ascii="Calibri" w:eastAsia="Times New Roman" w:hAnsi="Calibri" w:cs="Calibri"/>
                <w:kern w:val="0"/>
                <w:sz w:val="20"/>
                <w:szCs w:val="20"/>
                <w14:ligatures w14:val="none"/>
              </w:rPr>
            </w:pPr>
            <w:r w:rsidRPr="00082E66">
              <w:rPr>
                <w:rFonts w:ascii="Calibri" w:eastAsia="Times New Roman" w:hAnsi="Calibri" w:cs="Calibri"/>
                <w:kern w:val="0"/>
                <w:sz w:val="20"/>
                <w:szCs w:val="20"/>
                <w14:ligatures w14:val="none"/>
              </w:rPr>
              <w:t>1</w:t>
            </w:r>
          </w:p>
        </w:tc>
      </w:tr>
      <w:tr w:rsidR="00082E66" w:rsidRPr="00082E66" w14:paraId="52EAD983" w14:textId="77777777" w:rsidTr="00E05C17">
        <w:trPr>
          <w:trHeight w:val="405"/>
        </w:trPr>
        <w:tc>
          <w:tcPr>
            <w:tcW w:w="1114" w:type="pct"/>
            <w:tcBorders>
              <w:top w:val="nil"/>
              <w:left w:val="nil"/>
              <w:bottom w:val="nil"/>
              <w:right w:val="nil"/>
            </w:tcBorders>
            <w:vAlign w:val="bottom"/>
            <w:hideMark/>
          </w:tcPr>
          <w:p w14:paraId="57B41E4F" w14:textId="77777777" w:rsidR="00082E66" w:rsidRPr="00082E66" w:rsidRDefault="00082E66" w:rsidP="00082E66">
            <w:pPr>
              <w:jc w:val="center"/>
              <w:rPr>
                <w:rFonts w:ascii="Calibri" w:eastAsia="Times New Roman" w:hAnsi="Calibri" w:cs="Calibri"/>
                <w:kern w:val="0"/>
                <w:sz w:val="20"/>
                <w:szCs w:val="20"/>
                <w14:ligatures w14:val="none"/>
              </w:rPr>
            </w:pPr>
          </w:p>
        </w:tc>
        <w:tc>
          <w:tcPr>
            <w:tcW w:w="2462" w:type="pct"/>
            <w:tcBorders>
              <w:top w:val="nil"/>
              <w:left w:val="nil"/>
              <w:bottom w:val="nil"/>
              <w:right w:val="nil"/>
            </w:tcBorders>
            <w:shd w:val="clear" w:color="000000" w:fill="FFFFFF"/>
            <w:noWrap/>
            <w:vAlign w:val="center"/>
            <w:hideMark/>
          </w:tcPr>
          <w:p w14:paraId="33FBA740" w14:textId="77777777" w:rsidR="00082E66" w:rsidRPr="00082E66" w:rsidRDefault="00082E66" w:rsidP="00082E66">
            <w:pPr>
              <w:rPr>
                <w:rFonts w:ascii="Calibri" w:eastAsia="Times New Roman" w:hAnsi="Calibri" w:cs="Calibri"/>
                <w:color w:val="000000"/>
                <w:kern w:val="0"/>
                <w:sz w:val="20"/>
                <w:szCs w:val="20"/>
                <w14:ligatures w14:val="none"/>
              </w:rPr>
            </w:pPr>
            <w:r w:rsidRPr="00082E66">
              <w:rPr>
                <w:rFonts w:ascii="Calibri" w:eastAsia="Times New Roman" w:hAnsi="Calibri" w:cs="Calibri"/>
                <w:color w:val="000000"/>
                <w:kern w:val="0"/>
                <w:sz w:val="20"/>
                <w:szCs w:val="20"/>
                <w14:ligatures w14:val="none"/>
              </w:rPr>
              <w:t>Average Residential Electricity Bill</w:t>
            </w:r>
          </w:p>
        </w:tc>
        <w:tc>
          <w:tcPr>
            <w:tcW w:w="788" w:type="pct"/>
            <w:tcBorders>
              <w:top w:val="nil"/>
              <w:left w:val="nil"/>
              <w:bottom w:val="nil"/>
              <w:right w:val="nil"/>
            </w:tcBorders>
            <w:shd w:val="clear" w:color="000000" w:fill="FFFFFF"/>
            <w:noWrap/>
            <w:vAlign w:val="center"/>
            <w:hideMark/>
          </w:tcPr>
          <w:p w14:paraId="584C00F7" w14:textId="77777777" w:rsidR="00082E66" w:rsidRPr="00082E66" w:rsidRDefault="00082E66" w:rsidP="00082E66">
            <w:pPr>
              <w:jc w:val="center"/>
              <w:rPr>
                <w:rFonts w:ascii="Calibri" w:eastAsia="Times New Roman" w:hAnsi="Calibri" w:cs="Calibri"/>
                <w:color w:val="4F81BD"/>
                <w:kern w:val="0"/>
                <w:sz w:val="20"/>
                <w:szCs w:val="20"/>
                <w14:ligatures w14:val="none"/>
              </w:rPr>
            </w:pPr>
            <w:r w:rsidRPr="00082E66">
              <w:rPr>
                <w:rFonts w:ascii="Calibri" w:eastAsia="Times New Roman" w:hAnsi="Calibri" w:cs="Calibri"/>
                <w:color w:val="4F81BD"/>
                <w:kern w:val="0"/>
                <w:sz w:val="20"/>
                <w:szCs w:val="20"/>
                <w14:ligatures w14:val="none"/>
              </w:rPr>
              <w:t>16</w:t>
            </w:r>
          </w:p>
        </w:tc>
        <w:tc>
          <w:tcPr>
            <w:tcW w:w="636" w:type="pct"/>
            <w:tcBorders>
              <w:top w:val="nil"/>
              <w:left w:val="nil"/>
              <w:bottom w:val="nil"/>
              <w:right w:val="nil"/>
            </w:tcBorders>
            <w:shd w:val="clear" w:color="000000" w:fill="FFFFFF"/>
            <w:noWrap/>
            <w:vAlign w:val="center"/>
            <w:hideMark/>
          </w:tcPr>
          <w:p w14:paraId="76CDDED7" w14:textId="77777777" w:rsidR="00082E66" w:rsidRPr="00082E66" w:rsidRDefault="00082E66" w:rsidP="00082E66">
            <w:pPr>
              <w:jc w:val="center"/>
              <w:rPr>
                <w:rFonts w:ascii="Calibri" w:eastAsia="Times New Roman" w:hAnsi="Calibri" w:cs="Calibri"/>
                <w:kern w:val="0"/>
                <w:sz w:val="20"/>
                <w:szCs w:val="20"/>
                <w14:ligatures w14:val="none"/>
              </w:rPr>
            </w:pPr>
            <w:r w:rsidRPr="00082E66">
              <w:rPr>
                <w:rFonts w:ascii="Calibri" w:eastAsia="Times New Roman" w:hAnsi="Calibri" w:cs="Calibri"/>
                <w:kern w:val="0"/>
                <w:sz w:val="20"/>
                <w:szCs w:val="20"/>
                <w14:ligatures w14:val="none"/>
              </w:rPr>
              <w:t>15</w:t>
            </w:r>
          </w:p>
        </w:tc>
      </w:tr>
      <w:tr w:rsidR="00082E66" w:rsidRPr="00082E66" w14:paraId="31CFE580" w14:textId="77777777" w:rsidTr="00E05C17">
        <w:trPr>
          <w:trHeight w:val="480"/>
        </w:trPr>
        <w:tc>
          <w:tcPr>
            <w:tcW w:w="1114" w:type="pct"/>
            <w:tcBorders>
              <w:top w:val="nil"/>
              <w:left w:val="nil"/>
              <w:bottom w:val="nil"/>
              <w:right w:val="nil"/>
            </w:tcBorders>
            <w:vAlign w:val="bottom"/>
            <w:hideMark/>
          </w:tcPr>
          <w:p w14:paraId="16A756BA" w14:textId="77777777" w:rsidR="00082E66" w:rsidRPr="00082E66" w:rsidRDefault="00082E66" w:rsidP="00082E66">
            <w:pPr>
              <w:jc w:val="center"/>
              <w:rPr>
                <w:rFonts w:ascii="Calibri" w:eastAsia="Times New Roman" w:hAnsi="Calibri" w:cs="Calibri"/>
                <w:kern w:val="0"/>
                <w:sz w:val="20"/>
                <w:szCs w:val="20"/>
                <w14:ligatures w14:val="none"/>
              </w:rPr>
            </w:pPr>
          </w:p>
        </w:tc>
        <w:tc>
          <w:tcPr>
            <w:tcW w:w="2462" w:type="pct"/>
            <w:tcBorders>
              <w:top w:val="nil"/>
              <w:left w:val="nil"/>
              <w:bottom w:val="nil"/>
              <w:right w:val="nil"/>
            </w:tcBorders>
            <w:shd w:val="clear" w:color="000000" w:fill="FFFFFF"/>
            <w:noWrap/>
            <w:vAlign w:val="center"/>
            <w:hideMark/>
          </w:tcPr>
          <w:p w14:paraId="2CB6D2C5" w14:textId="77777777" w:rsidR="00082E66" w:rsidRPr="00082E66" w:rsidRDefault="00082E66" w:rsidP="00082E66">
            <w:pPr>
              <w:rPr>
                <w:rFonts w:ascii="Calibri" w:eastAsia="Times New Roman" w:hAnsi="Calibri" w:cs="Calibri"/>
                <w:color w:val="000000"/>
                <w:kern w:val="0"/>
                <w:sz w:val="20"/>
                <w:szCs w:val="20"/>
                <w14:ligatures w14:val="none"/>
              </w:rPr>
            </w:pPr>
            <w:r w:rsidRPr="00082E66">
              <w:rPr>
                <w:rFonts w:ascii="Calibri" w:eastAsia="Times New Roman" w:hAnsi="Calibri" w:cs="Calibri"/>
                <w:color w:val="000000"/>
                <w:kern w:val="0"/>
                <w:sz w:val="20"/>
                <w:szCs w:val="20"/>
                <w14:ligatures w14:val="none"/>
              </w:rPr>
              <w:t>Commercial Electricity Rate</w:t>
            </w:r>
          </w:p>
        </w:tc>
        <w:tc>
          <w:tcPr>
            <w:tcW w:w="788" w:type="pct"/>
            <w:tcBorders>
              <w:top w:val="nil"/>
              <w:left w:val="nil"/>
              <w:bottom w:val="nil"/>
              <w:right w:val="nil"/>
            </w:tcBorders>
            <w:shd w:val="clear" w:color="000000" w:fill="FFFFFF"/>
            <w:noWrap/>
            <w:vAlign w:val="center"/>
            <w:hideMark/>
          </w:tcPr>
          <w:p w14:paraId="7CC0A80E" w14:textId="77777777" w:rsidR="00082E66" w:rsidRPr="00082E66" w:rsidRDefault="00082E66" w:rsidP="00082E66">
            <w:pPr>
              <w:jc w:val="center"/>
              <w:rPr>
                <w:rFonts w:ascii="Calibri" w:eastAsia="Times New Roman" w:hAnsi="Calibri" w:cs="Calibri"/>
                <w:color w:val="FF0000"/>
                <w:kern w:val="0"/>
                <w:sz w:val="20"/>
                <w:szCs w:val="20"/>
                <w14:ligatures w14:val="none"/>
              </w:rPr>
            </w:pPr>
            <w:r w:rsidRPr="00082E66">
              <w:rPr>
                <w:rFonts w:ascii="Calibri" w:eastAsia="Times New Roman" w:hAnsi="Calibri" w:cs="Calibri"/>
                <w:color w:val="FF0000"/>
                <w:kern w:val="0"/>
                <w:sz w:val="20"/>
                <w:szCs w:val="20"/>
                <w14:ligatures w14:val="none"/>
              </w:rPr>
              <w:t>1</w:t>
            </w:r>
          </w:p>
        </w:tc>
        <w:tc>
          <w:tcPr>
            <w:tcW w:w="636" w:type="pct"/>
            <w:tcBorders>
              <w:top w:val="nil"/>
              <w:left w:val="nil"/>
              <w:bottom w:val="nil"/>
              <w:right w:val="nil"/>
            </w:tcBorders>
            <w:shd w:val="clear" w:color="000000" w:fill="FFFFFF"/>
            <w:noWrap/>
            <w:vAlign w:val="center"/>
            <w:hideMark/>
          </w:tcPr>
          <w:p w14:paraId="05FC0EC9" w14:textId="77777777" w:rsidR="00082E66" w:rsidRPr="00082E66" w:rsidRDefault="00082E66" w:rsidP="00082E66">
            <w:pPr>
              <w:jc w:val="center"/>
              <w:rPr>
                <w:rFonts w:ascii="Calibri" w:eastAsia="Times New Roman" w:hAnsi="Calibri" w:cs="Calibri"/>
                <w:kern w:val="0"/>
                <w:sz w:val="20"/>
                <w:szCs w:val="20"/>
                <w14:ligatures w14:val="none"/>
              </w:rPr>
            </w:pPr>
            <w:r w:rsidRPr="00082E66">
              <w:rPr>
                <w:rFonts w:ascii="Calibri" w:eastAsia="Times New Roman" w:hAnsi="Calibri" w:cs="Calibri"/>
                <w:kern w:val="0"/>
                <w:sz w:val="20"/>
                <w:szCs w:val="20"/>
                <w14:ligatures w14:val="none"/>
              </w:rPr>
              <w:t>1</w:t>
            </w:r>
          </w:p>
        </w:tc>
      </w:tr>
      <w:tr w:rsidR="00082E66" w:rsidRPr="00082E66" w14:paraId="1EEB0253" w14:textId="77777777" w:rsidTr="00E05C17">
        <w:trPr>
          <w:trHeight w:val="300"/>
        </w:trPr>
        <w:tc>
          <w:tcPr>
            <w:tcW w:w="1114" w:type="pct"/>
            <w:tcBorders>
              <w:top w:val="nil"/>
              <w:left w:val="nil"/>
              <w:bottom w:val="nil"/>
              <w:right w:val="nil"/>
            </w:tcBorders>
            <w:vAlign w:val="bottom"/>
            <w:hideMark/>
          </w:tcPr>
          <w:p w14:paraId="0FA426FC" w14:textId="77777777" w:rsidR="00082E66" w:rsidRPr="00082E66" w:rsidRDefault="00082E66" w:rsidP="00082E66">
            <w:pPr>
              <w:jc w:val="center"/>
              <w:rPr>
                <w:rFonts w:ascii="Calibri" w:eastAsia="Times New Roman" w:hAnsi="Calibri" w:cs="Calibri"/>
                <w:kern w:val="0"/>
                <w:sz w:val="20"/>
                <w:szCs w:val="20"/>
                <w14:ligatures w14:val="none"/>
              </w:rPr>
            </w:pPr>
          </w:p>
        </w:tc>
        <w:tc>
          <w:tcPr>
            <w:tcW w:w="2462" w:type="pct"/>
            <w:tcBorders>
              <w:top w:val="nil"/>
              <w:left w:val="nil"/>
              <w:bottom w:val="nil"/>
              <w:right w:val="nil"/>
            </w:tcBorders>
            <w:shd w:val="clear" w:color="000000" w:fill="FFFFFF"/>
            <w:noWrap/>
            <w:vAlign w:val="center"/>
            <w:hideMark/>
          </w:tcPr>
          <w:p w14:paraId="27784FF7" w14:textId="77777777" w:rsidR="00082E66" w:rsidRPr="00082E66" w:rsidRDefault="00082E66" w:rsidP="00082E66">
            <w:pPr>
              <w:rPr>
                <w:rFonts w:ascii="Calibri" w:eastAsia="Times New Roman" w:hAnsi="Calibri" w:cs="Calibri"/>
                <w:color w:val="000000"/>
                <w:kern w:val="0"/>
                <w:sz w:val="20"/>
                <w:szCs w:val="20"/>
                <w14:ligatures w14:val="none"/>
              </w:rPr>
            </w:pPr>
            <w:r w:rsidRPr="00082E66">
              <w:rPr>
                <w:rFonts w:ascii="Calibri" w:eastAsia="Times New Roman" w:hAnsi="Calibri" w:cs="Calibri"/>
                <w:color w:val="000000"/>
                <w:kern w:val="0"/>
                <w:sz w:val="20"/>
                <w:szCs w:val="20"/>
                <w14:ligatures w14:val="none"/>
              </w:rPr>
              <w:t>Industrial Electricity Rate</w:t>
            </w:r>
          </w:p>
        </w:tc>
        <w:tc>
          <w:tcPr>
            <w:tcW w:w="788" w:type="pct"/>
            <w:tcBorders>
              <w:top w:val="nil"/>
              <w:left w:val="nil"/>
              <w:bottom w:val="nil"/>
              <w:right w:val="nil"/>
            </w:tcBorders>
            <w:shd w:val="clear" w:color="000000" w:fill="FFFFFF"/>
            <w:noWrap/>
            <w:vAlign w:val="center"/>
            <w:hideMark/>
          </w:tcPr>
          <w:p w14:paraId="4DA075F8" w14:textId="77777777" w:rsidR="00082E66" w:rsidRPr="00082E66" w:rsidRDefault="00082E66" w:rsidP="00082E66">
            <w:pPr>
              <w:jc w:val="center"/>
              <w:rPr>
                <w:rFonts w:ascii="Calibri" w:eastAsia="Times New Roman" w:hAnsi="Calibri" w:cs="Calibri"/>
                <w:color w:val="FF0000"/>
                <w:kern w:val="0"/>
                <w:sz w:val="20"/>
                <w:szCs w:val="20"/>
                <w14:ligatures w14:val="none"/>
              </w:rPr>
            </w:pPr>
            <w:r w:rsidRPr="00082E66">
              <w:rPr>
                <w:rFonts w:ascii="Calibri" w:eastAsia="Times New Roman" w:hAnsi="Calibri" w:cs="Calibri"/>
                <w:color w:val="FF0000"/>
                <w:kern w:val="0"/>
                <w:sz w:val="20"/>
                <w:szCs w:val="20"/>
                <w14:ligatures w14:val="none"/>
              </w:rPr>
              <w:t>1</w:t>
            </w:r>
          </w:p>
        </w:tc>
        <w:tc>
          <w:tcPr>
            <w:tcW w:w="636" w:type="pct"/>
            <w:tcBorders>
              <w:top w:val="nil"/>
              <w:left w:val="nil"/>
              <w:bottom w:val="nil"/>
              <w:right w:val="nil"/>
            </w:tcBorders>
            <w:shd w:val="clear" w:color="000000" w:fill="FFFFFF"/>
            <w:noWrap/>
            <w:vAlign w:val="center"/>
            <w:hideMark/>
          </w:tcPr>
          <w:p w14:paraId="1FDA90A0" w14:textId="77777777" w:rsidR="00082E66" w:rsidRPr="00082E66" w:rsidRDefault="00082E66" w:rsidP="00082E66">
            <w:pPr>
              <w:jc w:val="center"/>
              <w:rPr>
                <w:rFonts w:ascii="Calibri" w:eastAsia="Times New Roman" w:hAnsi="Calibri" w:cs="Calibri"/>
                <w:kern w:val="0"/>
                <w:sz w:val="20"/>
                <w:szCs w:val="20"/>
                <w14:ligatures w14:val="none"/>
              </w:rPr>
            </w:pPr>
            <w:r w:rsidRPr="00082E66">
              <w:rPr>
                <w:rFonts w:ascii="Calibri" w:eastAsia="Times New Roman" w:hAnsi="Calibri" w:cs="Calibri"/>
                <w:kern w:val="0"/>
                <w:sz w:val="20"/>
                <w:szCs w:val="20"/>
                <w14:ligatures w14:val="none"/>
              </w:rPr>
              <w:t>1</w:t>
            </w:r>
          </w:p>
        </w:tc>
      </w:tr>
      <w:tr w:rsidR="00082E66" w:rsidRPr="00082E66" w14:paraId="58FF2B8D" w14:textId="77777777" w:rsidTr="00E05C17">
        <w:trPr>
          <w:trHeight w:val="540"/>
        </w:trPr>
        <w:tc>
          <w:tcPr>
            <w:tcW w:w="1114" w:type="pct"/>
            <w:tcBorders>
              <w:top w:val="nil"/>
              <w:left w:val="nil"/>
              <w:bottom w:val="nil"/>
              <w:right w:val="nil"/>
            </w:tcBorders>
            <w:vAlign w:val="bottom"/>
            <w:hideMark/>
          </w:tcPr>
          <w:p w14:paraId="38C4E678" w14:textId="77777777" w:rsidR="00082E66" w:rsidRPr="00082E66" w:rsidRDefault="00082E66" w:rsidP="00082E66">
            <w:pPr>
              <w:jc w:val="center"/>
              <w:rPr>
                <w:rFonts w:ascii="Calibri" w:eastAsia="Times New Roman" w:hAnsi="Calibri" w:cs="Calibri"/>
                <w:kern w:val="0"/>
                <w:sz w:val="20"/>
                <w:szCs w:val="20"/>
                <w14:ligatures w14:val="none"/>
              </w:rPr>
            </w:pPr>
          </w:p>
        </w:tc>
        <w:tc>
          <w:tcPr>
            <w:tcW w:w="2462" w:type="pct"/>
            <w:tcBorders>
              <w:top w:val="nil"/>
              <w:left w:val="nil"/>
              <w:bottom w:val="nil"/>
              <w:right w:val="nil"/>
            </w:tcBorders>
            <w:shd w:val="clear" w:color="000000" w:fill="FFFFFF"/>
            <w:noWrap/>
            <w:vAlign w:val="center"/>
            <w:hideMark/>
          </w:tcPr>
          <w:p w14:paraId="74CA6BE6" w14:textId="77777777" w:rsidR="00082E66" w:rsidRPr="00082E66" w:rsidRDefault="00082E66" w:rsidP="00082E66">
            <w:pPr>
              <w:rPr>
                <w:rFonts w:ascii="Calibri" w:eastAsia="Times New Roman" w:hAnsi="Calibri" w:cs="Calibri"/>
                <w:color w:val="000000"/>
                <w:kern w:val="0"/>
                <w:sz w:val="20"/>
                <w:szCs w:val="20"/>
                <w14:ligatures w14:val="none"/>
              </w:rPr>
            </w:pPr>
            <w:r w:rsidRPr="00082E66">
              <w:rPr>
                <w:rFonts w:ascii="Calibri" w:eastAsia="Times New Roman" w:hAnsi="Calibri" w:cs="Calibri"/>
                <w:color w:val="000000"/>
                <w:kern w:val="0"/>
                <w:sz w:val="20"/>
                <w:szCs w:val="20"/>
                <w14:ligatures w14:val="none"/>
              </w:rPr>
              <w:t>Residential Natural Gas Rate</w:t>
            </w:r>
          </w:p>
        </w:tc>
        <w:tc>
          <w:tcPr>
            <w:tcW w:w="788" w:type="pct"/>
            <w:tcBorders>
              <w:top w:val="nil"/>
              <w:left w:val="nil"/>
              <w:bottom w:val="nil"/>
              <w:right w:val="nil"/>
            </w:tcBorders>
            <w:shd w:val="clear" w:color="000000" w:fill="FFFFFF"/>
            <w:noWrap/>
            <w:vAlign w:val="center"/>
            <w:hideMark/>
          </w:tcPr>
          <w:p w14:paraId="149A3C63" w14:textId="77777777" w:rsidR="00082E66" w:rsidRPr="00082E66" w:rsidRDefault="00082E66" w:rsidP="00082E66">
            <w:pPr>
              <w:jc w:val="center"/>
              <w:rPr>
                <w:rFonts w:ascii="Calibri" w:eastAsia="Times New Roman" w:hAnsi="Calibri" w:cs="Calibri"/>
                <w:color w:val="000000"/>
                <w:kern w:val="0"/>
                <w:sz w:val="20"/>
                <w:szCs w:val="20"/>
                <w14:ligatures w14:val="none"/>
              </w:rPr>
            </w:pPr>
            <w:r w:rsidRPr="00082E66">
              <w:rPr>
                <w:rFonts w:ascii="Calibri" w:eastAsia="Times New Roman" w:hAnsi="Calibri" w:cs="Calibri"/>
                <w:color w:val="000000"/>
                <w:kern w:val="0"/>
                <w:sz w:val="20"/>
                <w:szCs w:val="20"/>
                <w14:ligatures w14:val="none"/>
              </w:rPr>
              <w:t>3</w:t>
            </w:r>
          </w:p>
        </w:tc>
        <w:tc>
          <w:tcPr>
            <w:tcW w:w="636" w:type="pct"/>
            <w:tcBorders>
              <w:top w:val="nil"/>
              <w:left w:val="nil"/>
              <w:bottom w:val="nil"/>
              <w:right w:val="nil"/>
            </w:tcBorders>
            <w:shd w:val="clear" w:color="000000" w:fill="FFFFFF"/>
            <w:noWrap/>
            <w:vAlign w:val="center"/>
            <w:hideMark/>
          </w:tcPr>
          <w:p w14:paraId="7C0B4FBE" w14:textId="77777777" w:rsidR="00082E66" w:rsidRPr="00082E66" w:rsidRDefault="00082E66" w:rsidP="00082E66">
            <w:pPr>
              <w:jc w:val="center"/>
              <w:rPr>
                <w:rFonts w:ascii="Calibri" w:eastAsia="Times New Roman" w:hAnsi="Calibri" w:cs="Calibri"/>
                <w:kern w:val="0"/>
                <w:sz w:val="20"/>
                <w:szCs w:val="20"/>
                <w14:ligatures w14:val="none"/>
              </w:rPr>
            </w:pPr>
            <w:r w:rsidRPr="00082E66">
              <w:rPr>
                <w:rFonts w:ascii="Calibri" w:eastAsia="Times New Roman" w:hAnsi="Calibri" w:cs="Calibri"/>
                <w:kern w:val="0"/>
                <w:sz w:val="20"/>
                <w:szCs w:val="20"/>
                <w14:ligatures w14:val="none"/>
              </w:rPr>
              <w:t>3</w:t>
            </w:r>
          </w:p>
        </w:tc>
      </w:tr>
      <w:tr w:rsidR="00082E66" w:rsidRPr="00082E66" w14:paraId="7127D347" w14:textId="77777777" w:rsidTr="00E05C17">
        <w:trPr>
          <w:trHeight w:val="300"/>
        </w:trPr>
        <w:tc>
          <w:tcPr>
            <w:tcW w:w="1114" w:type="pct"/>
            <w:tcBorders>
              <w:top w:val="nil"/>
              <w:left w:val="nil"/>
              <w:bottom w:val="nil"/>
              <w:right w:val="nil"/>
            </w:tcBorders>
            <w:vAlign w:val="bottom"/>
            <w:hideMark/>
          </w:tcPr>
          <w:p w14:paraId="5036A00E" w14:textId="77777777" w:rsidR="00082E66" w:rsidRPr="00082E66" w:rsidRDefault="00082E66" w:rsidP="00082E66">
            <w:pPr>
              <w:jc w:val="center"/>
              <w:rPr>
                <w:rFonts w:ascii="Calibri" w:eastAsia="Times New Roman" w:hAnsi="Calibri" w:cs="Calibri"/>
                <w:kern w:val="0"/>
                <w:sz w:val="20"/>
                <w:szCs w:val="20"/>
                <w14:ligatures w14:val="none"/>
              </w:rPr>
            </w:pPr>
          </w:p>
        </w:tc>
        <w:tc>
          <w:tcPr>
            <w:tcW w:w="2462" w:type="pct"/>
            <w:tcBorders>
              <w:top w:val="nil"/>
              <w:left w:val="nil"/>
              <w:bottom w:val="nil"/>
              <w:right w:val="nil"/>
            </w:tcBorders>
            <w:shd w:val="clear" w:color="000000" w:fill="FFFFFF"/>
            <w:noWrap/>
            <w:vAlign w:val="center"/>
            <w:hideMark/>
          </w:tcPr>
          <w:p w14:paraId="5AA71F23" w14:textId="77777777" w:rsidR="00082E66" w:rsidRPr="00082E66" w:rsidRDefault="00082E66" w:rsidP="00082E66">
            <w:pPr>
              <w:rPr>
                <w:rFonts w:ascii="Calibri" w:eastAsia="Times New Roman" w:hAnsi="Calibri" w:cs="Calibri"/>
                <w:color w:val="000000"/>
                <w:kern w:val="0"/>
                <w:sz w:val="20"/>
                <w:szCs w:val="20"/>
                <w14:ligatures w14:val="none"/>
              </w:rPr>
            </w:pPr>
            <w:r w:rsidRPr="00082E66">
              <w:rPr>
                <w:rFonts w:ascii="Calibri" w:eastAsia="Times New Roman" w:hAnsi="Calibri" w:cs="Calibri"/>
                <w:color w:val="000000"/>
                <w:kern w:val="0"/>
                <w:sz w:val="20"/>
                <w:szCs w:val="20"/>
                <w14:ligatures w14:val="none"/>
              </w:rPr>
              <w:t>Commercial Natural Gas Rate</w:t>
            </w:r>
          </w:p>
        </w:tc>
        <w:tc>
          <w:tcPr>
            <w:tcW w:w="788" w:type="pct"/>
            <w:tcBorders>
              <w:top w:val="nil"/>
              <w:left w:val="nil"/>
              <w:bottom w:val="nil"/>
              <w:right w:val="nil"/>
            </w:tcBorders>
            <w:shd w:val="clear" w:color="000000" w:fill="FFFFFF"/>
            <w:noWrap/>
            <w:vAlign w:val="center"/>
            <w:hideMark/>
          </w:tcPr>
          <w:p w14:paraId="58626AB0" w14:textId="77777777" w:rsidR="00082E66" w:rsidRPr="00082E66" w:rsidRDefault="00082E66" w:rsidP="00082E66">
            <w:pPr>
              <w:jc w:val="center"/>
              <w:rPr>
                <w:rFonts w:ascii="Calibri" w:eastAsia="Times New Roman" w:hAnsi="Calibri" w:cs="Calibri"/>
                <w:kern w:val="0"/>
                <w:sz w:val="20"/>
                <w:szCs w:val="20"/>
                <w14:ligatures w14:val="none"/>
              </w:rPr>
            </w:pPr>
            <w:r w:rsidRPr="00082E66">
              <w:rPr>
                <w:rFonts w:ascii="Calibri" w:eastAsia="Times New Roman" w:hAnsi="Calibri" w:cs="Calibri"/>
                <w:kern w:val="0"/>
                <w:sz w:val="20"/>
                <w:szCs w:val="20"/>
                <w14:ligatures w14:val="none"/>
              </w:rPr>
              <w:t>3</w:t>
            </w:r>
          </w:p>
        </w:tc>
        <w:tc>
          <w:tcPr>
            <w:tcW w:w="636" w:type="pct"/>
            <w:tcBorders>
              <w:top w:val="nil"/>
              <w:left w:val="nil"/>
              <w:bottom w:val="nil"/>
              <w:right w:val="nil"/>
            </w:tcBorders>
            <w:shd w:val="clear" w:color="000000" w:fill="FFFFFF"/>
            <w:noWrap/>
            <w:vAlign w:val="center"/>
            <w:hideMark/>
          </w:tcPr>
          <w:p w14:paraId="52A3CE22" w14:textId="77777777" w:rsidR="00082E66" w:rsidRPr="00082E66" w:rsidRDefault="00082E66" w:rsidP="00082E66">
            <w:pPr>
              <w:jc w:val="center"/>
              <w:rPr>
                <w:rFonts w:ascii="Calibri" w:eastAsia="Times New Roman" w:hAnsi="Calibri" w:cs="Calibri"/>
                <w:kern w:val="0"/>
                <w:sz w:val="20"/>
                <w:szCs w:val="20"/>
                <w14:ligatures w14:val="none"/>
              </w:rPr>
            </w:pPr>
            <w:r w:rsidRPr="00082E66">
              <w:rPr>
                <w:rFonts w:ascii="Calibri" w:eastAsia="Times New Roman" w:hAnsi="Calibri" w:cs="Calibri"/>
                <w:kern w:val="0"/>
                <w:sz w:val="20"/>
                <w:szCs w:val="20"/>
                <w14:ligatures w14:val="none"/>
              </w:rPr>
              <w:t>3</w:t>
            </w:r>
          </w:p>
        </w:tc>
      </w:tr>
      <w:tr w:rsidR="00082E66" w:rsidRPr="00082E66" w14:paraId="3A3994ED" w14:textId="77777777" w:rsidTr="00E05C17">
        <w:trPr>
          <w:trHeight w:val="525"/>
        </w:trPr>
        <w:tc>
          <w:tcPr>
            <w:tcW w:w="1114" w:type="pct"/>
            <w:tcBorders>
              <w:top w:val="nil"/>
              <w:left w:val="nil"/>
              <w:bottom w:val="nil"/>
              <w:right w:val="nil"/>
            </w:tcBorders>
            <w:vAlign w:val="bottom"/>
            <w:hideMark/>
          </w:tcPr>
          <w:p w14:paraId="1FE13E56" w14:textId="77777777" w:rsidR="00082E66" w:rsidRPr="00082E66" w:rsidRDefault="00082E66" w:rsidP="00082E66">
            <w:pPr>
              <w:jc w:val="center"/>
              <w:rPr>
                <w:rFonts w:ascii="Calibri" w:eastAsia="Times New Roman" w:hAnsi="Calibri" w:cs="Calibri"/>
                <w:kern w:val="0"/>
                <w:sz w:val="20"/>
                <w:szCs w:val="20"/>
                <w14:ligatures w14:val="none"/>
              </w:rPr>
            </w:pPr>
          </w:p>
        </w:tc>
        <w:tc>
          <w:tcPr>
            <w:tcW w:w="2462" w:type="pct"/>
            <w:tcBorders>
              <w:top w:val="nil"/>
              <w:left w:val="nil"/>
              <w:bottom w:val="nil"/>
              <w:right w:val="nil"/>
            </w:tcBorders>
            <w:shd w:val="clear" w:color="000000" w:fill="FFFFFF"/>
            <w:noWrap/>
            <w:vAlign w:val="center"/>
            <w:hideMark/>
          </w:tcPr>
          <w:p w14:paraId="1F212051" w14:textId="77777777" w:rsidR="00082E66" w:rsidRPr="00082E66" w:rsidRDefault="00082E66" w:rsidP="00082E66">
            <w:pPr>
              <w:rPr>
                <w:rFonts w:ascii="Calibri" w:eastAsia="Times New Roman" w:hAnsi="Calibri" w:cs="Calibri"/>
                <w:color w:val="000000"/>
                <w:kern w:val="0"/>
                <w:sz w:val="20"/>
                <w:szCs w:val="20"/>
                <w14:ligatures w14:val="none"/>
              </w:rPr>
            </w:pPr>
            <w:r w:rsidRPr="00082E66">
              <w:rPr>
                <w:rFonts w:ascii="Calibri" w:eastAsia="Times New Roman" w:hAnsi="Calibri" w:cs="Calibri"/>
                <w:color w:val="000000"/>
                <w:kern w:val="0"/>
                <w:sz w:val="20"/>
                <w:szCs w:val="20"/>
                <w14:ligatures w14:val="none"/>
              </w:rPr>
              <w:t>Industrial Natural Gas Rate</w:t>
            </w:r>
          </w:p>
        </w:tc>
        <w:tc>
          <w:tcPr>
            <w:tcW w:w="788" w:type="pct"/>
            <w:tcBorders>
              <w:top w:val="nil"/>
              <w:left w:val="nil"/>
              <w:bottom w:val="nil"/>
              <w:right w:val="nil"/>
            </w:tcBorders>
            <w:shd w:val="clear" w:color="000000" w:fill="FFFFFF"/>
            <w:noWrap/>
            <w:vAlign w:val="center"/>
            <w:hideMark/>
          </w:tcPr>
          <w:p w14:paraId="54E18A4F" w14:textId="77777777" w:rsidR="00082E66" w:rsidRPr="00082E66" w:rsidRDefault="00082E66" w:rsidP="00082E66">
            <w:pPr>
              <w:jc w:val="center"/>
              <w:rPr>
                <w:rFonts w:ascii="Calibri" w:eastAsia="Times New Roman" w:hAnsi="Calibri" w:cs="Calibri"/>
                <w:kern w:val="0"/>
                <w:sz w:val="20"/>
                <w:szCs w:val="20"/>
                <w14:ligatures w14:val="none"/>
              </w:rPr>
            </w:pPr>
            <w:r w:rsidRPr="00082E66">
              <w:rPr>
                <w:rFonts w:ascii="Calibri" w:eastAsia="Times New Roman" w:hAnsi="Calibri" w:cs="Calibri"/>
                <w:kern w:val="0"/>
                <w:sz w:val="20"/>
                <w:szCs w:val="20"/>
                <w14:ligatures w14:val="none"/>
              </w:rPr>
              <w:t>5</w:t>
            </w:r>
          </w:p>
        </w:tc>
        <w:tc>
          <w:tcPr>
            <w:tcW w:w="636" w:type="pct"/>
            <w:tcBorders>
              <w:top w:val="nil"/>
              <w:left w:val="nil"/>
              <w:bottom w:val="nil"/>
              <w:right w:val="nil"/>
            </w:tcBorders>
            <w:shd w:val="clear" w:color="000000" w:fill="FFFFFF"/>
            <w:noWrap/>
            <w:vAlign w:val="center"/>
            <w:hideMark/>
          </w:tcPr>
          <w:p w14:paraId="6B83CC18" w14:textId="77777777" w:rsidR="00082E66" w:rsidRPr="00082E66" w:rsidRDefault="00082E66" w:rsidP="00082E66">
            <w:pPr>
              <w:jc w:val="center"/>
              <w:rPr>
                <w:rFonts w:ascii="Calibri" w:eastAsia="Times New Roman" w:hAnsi="Calibri" w:cs="Calibri"/>
                <w:kern w:val="0"/>
                <w:sz w:val="20"/>
                <w:szCs w:val="20"/>
                <w14:ligatures w14:val="none"/>
              </w:rPr>
            </w:pPr>
            <w:r w:rsidRPr="00082E66">
              <w:rPr>
                <w:rFonts w:ascii="Calibri" w:eastAsia="Times New Roman" w:hAnsi="Calibri" w:cs="Calibri"/>
                <w:kern w:val="0"/>
                <w:sz w:val="20"/>
                <w:szCs w:val="20"/>
                <w14:ligatures w14:val="none"/>
              </w:rPr>
              <w:t>5</w:t>
            </w:r>
          </w:p>
        </w:tc>
      </w:tr>
      <w:tr w:rsidR="00082E66" w:rsidRPr="00082E66" w14:paraId="477C2A70" w14:textId="77777777" w:rsidTr="00E05C17">
        <w:trPr>
          <w:trHeight w:val="300"/>
        </w:trPr>
        <w:tc>
          <w:tcPr>
            <w:tcW w:w="1114" w:type="pct"/>
            <w:tcBorders>
              <w:top w:val="nil"/>
              <w:left w:val="nil"/>
              <w:bottom w:val="nil"/>
              <w:right w:val="nil"/>
            </w:tcBorders>
            <w:vAlign w:val="bottom"/>
            <w:hideMark/>
          </w:tcPr>
          <w:p w14:paraId="4E132AA1" w14:textId="77777777" w:rsidR="00082E66" w:rsidRPr="00082E66" w:rsidRDefault="00082E66" w:rsidP="00082E66">
            <w:pPr>
              <w:jc w:val="center"/>
              <w:rPr>
                <w:rFonts w:ascii="Calibri" w:eastAsia="Times New Roman" w:hAnsi="Calibri" w:cs="Calibri"/>
                <w:kern w:val="0"/>
                <w:sz w:val="20"/>
                <w:szCs w:val="20"/>
                <w14:ligatures w14:val="none"/>
              </w:rPr>
            </w:pPr>
          </w:p>
        </w:tc>
        <w:tc>
          <w:tcPr>
            <w:tcW w:w="2462" w:type="pct"/>
            <w:tcBorders>
              <w:top w:val="nil"/>
              <w:left w:val="nil"/>
              <w:bottom w:val="nil"/>
              <w:right w:val="nil"/>
            </w:tcBorders>
            <w:shd w:val="clear" w:color="000000" w:fill="FFFFFF"/>
            <w:noWrap/>
            <w:vAlign w:val="center"/>
            <w:hideMark/>
          </w:tcPr>
          <w:p w14:paraId="505736DB" w14:textId="77777777" w:rsidR="00082E66" w:rsidRPr="00082E66" w:rsidRDefault="00082E66" w:rsidP="00082E66">
            <w:pPr>
              <w:rPr>
                <w:rFonts w:ascii="Calibri" w:eastAsia="Times New Roman" w:hAnsi="Calibri" w:cs="Calibri"/>
                <w:color w:val="000000"/>
                <w:kern w:val="0"/>
                <w:sz w:val="20"/>
                <w:szCs w:val="20"/>
                <w14:ligatures w14:val="none"/>
              </w:rPr>
            </w:pPr>
            <w:r w:rsidRPr="00082E66">
              <w:rPr>
                <w:rFonts w:ascii="Calibri" w:eastAsia="Times New Roman" w:hAnsi="Calibri" w:cs="Calibri"/>
                <w:color w:val="000000"/>
                <w:kern w:val="0"/>
                <w:sz w:val="20"/>
                <w:szCs w:val="20"/>
                <w14:ligatures w14:val="none"/>
              </w:rPr>
              <w:t>Gasoline</w:t>
            </w:r>
          </w:p>
        </w:tc>
        <w:tc>
          <w:tcPr>
            <w:tcW w:w="788" w:type="pct"/>
            <w:tcBorders>
              <w:top w:val="nil"/>
              <w:left w:val="nil"/>
              <w:bottom w:val="nil"/>
              <w:right w:val="nil"/>
            </w:tcBorders>
            <w:shd w:val="clear" w:color="000000" w:fill="FFFFFF"/>
            <w:noWrap/>
            <w:vAlign w:val="center"/>
            <w:hideMark/>
          </w:tcPr>
          <w:p w14:paraId="3CE05DA1" w14:textId="77777777" w:rsidR="00082E66" w:rsidRPr="00082E66" w:rsidRDefault="00082E66" w:rsidP="00082E66">
            <w:pPr>
              <w:jc w:val="center"/>
              <w:rPr>
                <w:rFonts w:ascii="Calibri" w:eastAsia="Times New Roman" w:hAnsi="Calibri" w:cs="Calibri"/>
                <w:color w:val="FF0000"/>
                <w:kern w:val="0"/>
                <w:sz w:val="20"/>
                <w:szCs w:val="20"/>
                <w14:ligatures w14:val="none"/>
              </w:rPr>
            </w:pPr>
            <w:r w:rsidRPr="00082E66">
              <w:rPr>
                <w:rFonts w:ascii="Calibri" w:eastAsia="Times New Roman" w:hAnsi="Calibri" w:cs="Calibri"/>
                <w:color w:val="FF0000"/>
                <w:kern w:val="0"/>
                <w:sz w:val="20"/>
                <w:szCs w:val="20"/>
                <w14:ligatures w14:val="none"/>
              </w:rPr>
              <w:t>1</w:t>
            </w:r>
          </w:p>
        </w:tc>
        <w:tc>
          <w:tcPr>
            <w:tcW w:w="636" w:type="pct"/>
            <w:tcBorders>
              <w:top w:val="nil"/>
              <w:left w:val="nil"/>
              <w:bottom w:val="nil"/>
              <w:right w:val="nil"/>
            </w:tcBorders>
            <w:shd w:val="clear" w:color="000000" w:fill="FFFFFF"/>
            <w:noWrap/>
            <w:vAlign w:val="center"/>
            <w:hideMark/>
          </w:tcPr>
          <w:p w14:paraId="0674BCD0" w14:textId="77777777" w:rsidR="00082E66" w:rsidRPr="00082E66" w:rsidRDefault="00082E66" w:rsidP="00082E66">
            <w:pPr>
              <w:jc w:val="center"/>
              <w:rPr>
                <w:rFonts w:ascii="Calibri" w:eastAsia="Times New Roman" w:hAnsi="Calibri" w:cs="Calibri"/>
                <w:kern w:val="0"/>
                <w:sz w:val="20"/>
                <w:szCs w:val="20"/>
                <w14:ligatures w14:val="none"/>
              </w:rPr>
            </w:pPr>
            <w:r w:rsidRPr="00082E66">
              <w:rPr>
                <w:rFonts w:ascii="Calibri" w:eastAsia="Times New Roman" w:hAnsi="Calibri" w:cs="Calibri"/>
                <w:kern w:val="0"/>
                <w:sz w:val="20"/>
                <w:szCs w:val="20"/>
                <w14:ligatures w14:val="none"/>
              </w:rPr>
              <w:t>1</w:t>
            </w:r>
          </w:p>
        </w:tc>
      </w:tr>
      <w:tr w:rsidR="00082E66" w:rsidRPr="00082E66" w14:paraId="443FBA18" w14:textId="77777777" w:rsidTr="00E05C17">
        <w:trPr>
          <w:trHeight w:val="465"/>
        </w:trPr>
        <w:tc>
          <w:tcPr>
            <w:tcW w:w="1114" w:type="pct"/>
            <w:tcBorders>
              <w:top w:val="nil"/>
              <w:left w:val="nil"/>
              <w:bottom w:val="nil"/>
              <w:right w:val="nil"/>
            </w:tcBorders>
            <w:vAlign w:val="bottom"/>
            <w:hideMark/>
          </w:tcPr>
          <w:p w14:paraId="0174F158" w14:textId="77777777" w:rsidR="00082E66" w:rsidRPr="00082E66" w:rsidRDefault="00082E66" w:rsidP="00082E66">
            <w:pPr>
              <w:jc w:val="center"/>
              <w:rPr>
                <w:rFonts w:ascii="Calibri" w:eastAsia="Times New Roman" w:hAnsi="Calibri" w:cs="Calibri"/>
                <w:kern w:val="0"/>
                <w:sz w:val="20"/>
                <w:szCs w:val="20"/>
                <w14:ligatures w14:val="none"/>
              </w:rPr>
            </w:pPr>
          </w:p>
        </w:tc>
        <w:tc>
          <w:tcPr>
            <w:tcW w:w="2462" w:type="pct"/>
            <w:tcBorders>
              <w:top w:val="nil"/>
              <w:left w:val="nil"/>
              <w:bottom w:val="single" w:sz="8" w:space="0" w:color="auto"/>
              <w:right w:val="nil"/>
            </w:tcBorders>
            <w:shd w:val="clear" w:color="000000" w:fill="FFFFFF"/>
            <w:noWrap/>
            <w:vAlign w:val="center"/>
            <w:hideMark/>
          </w:tcPr>
          <w:p w14:paraId="7E5B6A99" w14:textId="77777777" w:rsidR="00082E66" w:rsidRPr="00082E66" w:rsidRDefault="00082E66" w:rsidP="00082E66">
            <w:pPr>
              <w:rPr>
                <w:rFonts w:ascii="Calibri" w:eastAsia="Times New Roman" w:hAnsi="Calibri" w:cs="Calibri"/>
                <w:color w:val="000000"/>
                <w:kern w:val="0"/>
                <w:sz w:val="20"/>
                <w:szCs w:val="20"/>
                <w14:ligatures w14:val="none"/>
              </w:rPr>
            </w:pPr>
            <w:r w:rsidRPr="00082E66">
              <w:rPr>
                <w:rFonts w:ascii="Calibri" w:eastAsia="Times New Roman" w:hAnsi="Calibri" w:cs="Calibri"/>
                <w:color w:val="000000"/>
                <w:kern w:val="0"/>
                <w:sz w:val="20"/>
                <w:szCs w:val="20"/>
                <w14:ligatures w14:val="none"/>
              </w:rPr>
              <w:t>Diesel</w:t>
            </w:r>
          </w:p>
        </w:tc>
        <w:tc>
          <w:tcPr>
            <w:tcW w:w="788" w:type="pct"/>
            <w:tcBorders>
              <w:top w:val="nil"/>
              <w:left w:val="nil"/>
              <w:bottom w:val="single" w:sz="8" w:space="0" w:color="auto"/>
              <w:right w:val="nil"/>
            </w:tcBorders>
            <w:shd w:val="clear" w:color="000000" w:fill="FFFFFF"/>
            <w:noWrap/>
            <w:vAlign w:val="center"/>
            <w:hideMark/>
          </w:tcPr>
          <w:p w14:paraId="1415612D" w14:textId="77777777" w:rsidR="00082E66" w:rsidRPr="00082E66" w:rsidRDefault="00082E66" w:rsidP="00082E66">
            <w:pPr>
              <w:jc w:val="center"/>
              <w:rPr>
                <w:rFonts w:ascii="Calibri" w:eastAsia="Times New Roman" w:hAnsi="Calibri" w:cs="Calibri"/>
                <w:color w:val="FF0000"/>
                <w:kern w:val="0"/>
                <w:sz w:val="20"/>
                <w:szCs w:val="20"/>
                <w14:ligatures w14:val="none"/>
              </w:rPr>
            </w:pPr>
            <w:r w:rsidRPr="00082E66">
              <w:rPr>
                <w:rFonts w:ascii="Calibri" w:eastAsia="Times New Roman" w:hAnsi="Calibri" w:cs="Calibri"/>
                <w:color w:val="FF0000"/>
                <w:kern w:val="0"/>
                <w:sz w:val="20"/>
                <w:szCs w:val="20"/>
                <w14:ligatures w14:val="none"/>
              </w:rPr>
              <w:t>1</w:t>
            </w:r>
          </w:p>
        </w:tc>
        <w:tc>
          <w:tcPr>
            <w:tcW w:w="636" w:type="pct"/>
            <w:tcBorders>
              <w:top w:val="nil"/>
              <w:left w:val="nil"/>
              <w:bottom w:val="single" w:sz="8" w:space="0" w:color="auto"/>
              <w:right w:val="nil"/>
            </w:tcBorders>
            <w:shd w:val="clear" w:color="000000" w:fill="FFFFFF"/>
            <w:noWrap/>
            <w:vAlign w:val="center"/>
            <w:hideMark/>
          </w:tcPr>
          <w:p w14:paraId="133DC874" w14:textId="77777777" w:rsidR="00082E66" w:rsidRPr="00082E66" w:rsidRDefault="00082E66" w:rsidP="00082E66">
            <w:pPr>
              <w:jc w:val="center"/>
              <w:rPr>
                <w:rFonts w:ascii="Calibri" w:eastAsia="Times New Roman" w:hAnsi="Calibri" w:cs="Calibri"/>
                <w:kern w:val="0"/>
                <w:sz w:val="20"/>
                <w:szCs w:val="20"/>
                <w14:ligatures w14:val="none"/>
              </w:rPr>
            </w:pPr>
            <w:r w:rsidRPr="00082E66">
              <w:rPr>
                <w:rFonts w:ascii="Calibri" w:eastAsia="Times New Roman" w:hAnsi="Calibri" w:cs="Calibri"/>
                <w:kern w:val="0"/>
                <w:sz w:val="20"/>
                <w:szCs w:val="20"/>
                <w14:ligatures w14:val="none"/>
              </w:rPr>
              <w:t>1</w:t>
            </w:r>
          </w:p>
        </w:tc>
      </w:tr>
      <w:tr w:rsidR="00082E66" w:rsidRPr="00082E66" w14:paraId="103C3FAE" w14:textId="77777777" w:rsidTr="00E05C17">
        <w:trPr>
          <w:trHeight w:val="900"/>
        </w:trPr>
        <w:tc>
          <w:tcPr>
            <w:tcW w:w="1114" w:type="pct"/>
            <w:tcBorders>
              <w:top w:val="nil"/>
              <w:left w:val="nil"/>
              <w:bottom w:val="nil"/>
              <w:right w:val="nil"/>
            </w:tcBorders>
            <w:vAlign w:val="bottom"/>
            <w:hideMark/>
          </w:tcPr>
          <w:p w14:paraId="6B2CA306" w14:textId="77777777" w:rsidR="00640922" w:rsidRDefault="00640922" w:rsidP="00640922">
            <w:pPr>
              <w:rPr>
                <w:rFonts w:ascii="Calibri" w:eastAsia="Times New Roman" w:hAnsi="Calibri" w:cs="Calibri"/>
                <w:color w:val="000000"/>
                <w:kern w:val="0"/>
                <w14:ligatures w14:val="none"/>
              </w:rPr>
            </w:pPr>
          </w:p>
          <w:p w14:paraId="2A7713A5" w14:textId="77777777" w:rsidR="00640922" w:rsidRDefault="00640922" w:rsidP="00640922">
            <w:pPr>
              <w:rPr>
                <w:rFonts w:ascii="Calibri" w:eastAsia="Times New Roman" w:hAnsi="Calibri" w:cs="Calibri"/>
                <w:color w:val="000000"/>
                <w:kern w:val="0"/>
                <w14:ligatures w14:val="none"/>
              </w:rPr>
            </w:pPr>
          </w:p>
          <w:p w14:paraId="35395B29" w14:textId="77777777" w:rsidR="00640922" w:rsidRPr="004F0D26" w:rsidRDefault="00640922" w:rsidP="00640922">
            <w:pPr>
              <w:rPr>
                <w:rFonts w:ascii="Calibri" w:eastAsia="Times New Roman" w:hAnsi="Calibri" w:cs="Calibri"/>
                <w:color w:val="000000"/>
                <w:kern w:val="0"/>
                <w14:ligatures w14:val="none"/>
              </w:rPr>
            </w:pPr>
          </w:p>
          <w:p w14:paraId="5BD30E26" w14:textId="77777777" w:rsidR="00082E66" w:rsidRPr="00082E66" w:rsidRDefault="00082E66" w:rsidP="00082E66">
            <w:pPr>
              <w:jc w:val="center"/>
              <w:rPr>
                <w:rFonts w:ascii="Calibri" w:eastAsia="Times New Roman" w:hAnsi="Calibri" w:cs="Calibri"/>
                <w:kern w:val="0"/>
                <w:sz w:val="20"/>
                <w:szCs w:val="20"/>
                <w14:ligatures w14:val="none"/>
              </w:rPr>
            </w:pPr>
          </w:p>
        </w:tc>
        <w:tc>
          <w:tcPr>
            <w:tcW w:w="2462" w:type="pct"/>
            <w:tcBorders>
              <w:top w:val="nil"/>
              <w:left w:val="nil"/>
              <w:bottom w:val="nil"/>
              <w:right w:val="nil"/>
            </w:tcBorders>
            <w:vAlign w:val="bottom"/>
            <w:hideMark/>
          </w:tcPr>
          <w:p w14:paraId="4AD2A311"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0DC6A629"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18E1245A"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A46E3D" w:rsidRPr="00B53CA4" w14:paraId="43317ED8" w14:textId="77777777" w:rsidTr="00BE2A03">
        <w:trPr>
          <w:trHeight w:val="1800"/>
        </w:trPr>
        <w:tc>
          <w:tcPr>
            <w:tcW w:w="5000" w:type="pct"/>
            <w:gridSpan w:val="4"/>
            <w:tcBorders>
              <w:top w:val="nil"/>
              <w:left w:val="nil"/>
              <w:bottom w:val="nil"/>
              <w:right w:val="nil"/>
            </w:tcBorders>
            <w:vAlign w:val="bottom"/>
          </w:tcPr>
          <w:p w14:paraId="55E5EF77" w14:textId="77777777" w:rsidR="00A46E3D" w:rsidRPr="00A46E3D" w:rsidRDefault="00A46E3D" w:rsidP="00082E66">
            <w:pPr>
              <w:rPr>
                <w:rFonts w:ascii="Calibri" w:eastAsia="Times New Roman" w:hAnsi="Calibri" w:cs="Calibri"/>
                <w:b/>
                <w:bCs/>
                <w:kern w:val="0"/>
                <w:sz w:val="36"/>
                <w:szCs w:val="36"/>
                <w14:ligatures w14:val="none"/>
              </w:rPr>
            </w:pPr>
            <w:r w:rsidRPr="00A46E3D">
              <w:rPr>
                <w:rFonts w:ascii="Calibri" w:eastAsia="Times New Roman" w:hAnsi="Calibri" w:cs="Calibri"/>
                <w:b/>
                <w:bCs/>
                <w:kern w:val="0"/>
                <w:sz w:val="36"/>
                <w:szCs w:val="36"/>
                <w14:ligatures w14:val="none"/>
              </w:rPr>
              <w:t>Data Centers</w:t>
            </w:r>
          </w:p>
          <w:p w14:paraId="0ACE1450" w14:textId="77777777" w:rsidR="00A46E3D" w:rsidRDefault="00A46E3D" w:rsidP="00082E66">
            <w:pPr>
              <w:rPr>
                <w:rFonts w:ascii="Times New Roman" w:eastAsia="Times New Roman" w:hAnsi="Times New Roman" w:cs="Times New Roman"/>
                <w:b/>
                <w:bCs/>
                <w:kern w:val="0"/>
                <w:sz w:val="20"/>
                <w:szCs w:val="20"/>
                <w14:ligatures w14:val="none"/>
              </w:rPr>
            </w:pPr>
          </w:p>
          <w:p w14:paraId="65AE0C6E" w14:textId="7F274212" w:rsidR="00A46E3D" w:rsidRDefault="00A659BD" w:rsidP="00082E66">
            <w:pPr>
              <w:rPr>
                <w:rFonts w:ascii="Calibri" w:eastAsia="Times New Roman" w:hAnsi="Calibri" w:cs="Calibri"/>
                <w:kern w:val="0"/>
                <w14:ligatures w14:val="none"/>
              </w:rPr>
            </w:pPr>
            <w:r>
              <w:rPr>
                <w:rFonts w:ascii="Calibri" w:eastAsia="Times New Roman" w:hAnsi="Calibri" w:cs="Calibri"/>
                <w:kern w:val="0"/>
                <w14:ligatures w14:val="none"/>
              </w:rPr>
              <w:t>Californians have suffered from rising electricity costs over the past 15 years that</w:t>
            </w:r>
            <w:r w:rsidR="0005482E">
              <w:rPr>
                <w:rFonts w:ascii="Calibri" w:eastAsia="Times New Roman" w:hAnsi="Calibri" w:cs="Calibri"/>
                <w:kern w:val="0"/>
                <w14:ligatures w14:val="none"/>
              </w:rPr>
              <w:t xml:space="preserve"> have taken the state to the highest average electricity rates among the contiguous states, ranging from residential rates that are 96.7% higher than the average for all other states to industrial rates that are an anti-competitive 171.9% higher.  As electricity rates </w:t>
            </w:r>
            <w:r w:rsidR="00BE20CC">
              <w:rPr>
                <w:rFonts w:ascii="Calibri" w:eastAsia="Times New Roman" w:hAnsi="Calibri" w:cs="Calibri"/>
                <w:kern w:val="0"/>
                <w14:ligatures w14:val="none"/>
              </w:rPr>
              <w:t>have recently risen</w:t>
            </w:r>
            <w:r w:rsidR="0005482E">
              <w:rPr>
                <w:rFonts w:ascii="Calibri" w:eastAsia="Times New Roman" w:hAnsi="Calibri" w:cs="Calibri"/>
                <w:kern w:val="0"/>
                <w14:ligatures w14:val="none"/>
              </w:rPr>
              <w:t xml:space="preserve"> in other states as well, d</w:t>
            </w:r>
            <w:r w:rsidR="00A46E3D" w:rsidRPr="00A46E3D">
              <w:rPr>
                <w:rFonts w:ascii="Calibri" w:eastAsia="Times New Roman" w:hAnsi="Calibri" w:cs="Calibri"/>
                <w:kern w:val="0"/>
                <w14:ligatures w14:val="none"/>
              </w:rPr>
              <w:t xml:space="preserve">ata </w:t>
            </w:r>
            <w:r w:rsidR="0005482E">
              <w:rPr>
                <w:rFonts w:ascii="Calibri" w:eastAsia="Times New Roman" w:hAnsi="Calibri" w:cs="Calibri"/>
                <w:kern w:val="0"/>
                <w14:ligatures w14:val="none"/>
              </w:rPr>
              <w:t>c</w:t>
            </w:r>
            <w:r w:rsidR="00A46E3D" w:rsidRPr="00A46E3D">
              <w:rPr>
                <w:rFonts w:ascii="Calibri" w:eastAsia="Times New Roman" w:hAnsi="Calibri" w:cs="Calibri"/>
                <w:kern w:val="0"/>
                <w14:ligatures w14:val="none"/>
              </w:rPr>
              <w:t xml:space="preserve">enters </w:t>
            </w:r>
            <w:r w:rsidR="00A46E3D">
              <w:rPr>
                <w:rFonts w:ascii="Calibri" w:eastAsia="Times New Roman" w:hAnsi="Calibri" w:cs="Calibri"/>
                <w:kern w:val="0"/>
                <w14:ligatures w14:val="none"/>
              </w:rPr>
              <w:t xml:space="preserve">have become the latest fad </w:t>
            </w:r>
            <w:r w:rsidR="0005482E">
              <w:rPr>
                <w:rFonts w:ascii="Calibri" w:eastAsia="Times New Roman" w:hAnsi="Calibri" w:cs="Calibri"/>
                <w:kern w:val="0"/>
                <w14:ligatures w14:val="none"/>
              </w:rPr>
              <w:t>in a series of finger-pointing</w:t>
            </w:r>
            <w:r w:rsidR="00A46E3D">
              <w:rPr>
                <w:rFonts w:ascii="Calibri" w:eastAsia="Times New Roman" w:hAnsi="Calibri" w:cs="Calibri"/>
                <w:kern w:val="0"/>
                <w14:ligatures w14:val="none"/>
              </w:rPr>
              <w:t xml:space="preserve"> attempting to distract from the</w:t>
            </w:r>
            <w:r>
              <w:rPr>
                <w:rFonts w:ascii="Calibri" w:eastAsia="Times New Roman" w:hAnsi="Calibri" w:cs="Calibri"/>
                <w:kern w:val="0"/>
                <w14:ligatures w14:val="none"/>
              </w:rPr>
              <w:t xml:space="preserve"> cost</w:t>
            </w:r>
            <w:r w:rsidR="00A46E3D">
              <w:rPr>
                <w:rFonts w:ascii="Calibri" w:eastAsia="Times New Roman" w:hAnsi="Calibri" w:cs="Calibri"/>
                <w:kern w:val="0"/>
                <w14:ligatures w14:val="none"/>
              </w:rPr>
              <w:t xml:space="preserve"> effect of policies </w:t>
            </w:r>
            <w:r>
              <w:rPr>
                <w:rFonts w:ascii="Calibri" w:eastAsia="Times New Roman" w:hAnsi="Calibri" w:cs="Calibri"/>
                <w:kern w:val="0"/>
                <w14:ligatures w14:val="none"/>
              </w:rPr>
              <w:t xml:space="preserve">embraced by </w:t>
            </w:r>
            <w:r w:rsidR="0005482E">
              <w:rPr>
                <w:rFonts w:ascii="Calibri" w:eastAsia="Times New Roman" w:hAnsi="Calibri" w:cs="Calibri"/>
                <w:kern w:val="0"/>
                <w14:ligatures w14:val="none"/>
              </w:rPr>
              <w:t>several</w:t>
            </w:r>
            <w:r>
              <w:rPr>
                <w:rFonts w:ascii="Calibri" w:eastAsia="Times New Roman" w:hAnsi="Calibri" w:cs="Calibri"/>
                <w:kern w:val="0"/>
                <w14:ligatures w14:val="none"/>
              </w:rPr>
              <w:t xml:space="preserve"> states including California to mandate specific electric generation technologies and even projects</w:t>
            </w:r>
            <w:r w:rsidR="0005482E">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Data Centers, especially the current surge in new centers </w:t>
            </w:r>
            <w:r>
              <w:rPr>
                <w:rFonts w:ascii="Calibri" w:eastAsia="Times New Roman" w:hAnsi="Calibri" w:cs="Calibri"/>
                <w:kern w:val="0"/>
                <w14:ligatures w14:val="none"/>
              </w:rPr>
              <w:lastRenderedPageBreak/>
              <w:t xml:space="preserve">required for the further development and use of AI, have increasingly been </w:t>
            </w:r>
            <w:hyperlink r:id="rId6" w:history="1">
              <w:r w:rsidRPr="00A659BD">
                <w:rPr>
                  <w:rStyle w:val="Hyperlink"/>
                  <w:rFonts w:ascii="Calibri" w:eastAsia="Times New Roman" w:hAnsi="Calibri" w:cs="Calibri"/>
                  <w:kern w:val="0"/>
                  <w14:ligatures w14:val="none"/>
                </w:rPr>
                <w:t>criticized</w:t>
              </w:r>
            </w:hyperlink>
            <w:r>
              <w:rPr>
                <w:rFonts w:ascii="Calibri" w:eastAsia="Times New Roman" w:hAnsi="Calibri" w:cs="Calibri"/>
                <w:kern w:val="0"/>
                <w14:ligatures w14:val="none"/>
              </w:rPr>
              <w:t xml:space="preserve"> as </w:t>
            </w:r>
            <w:r w:rsidR="00BE20CC">
              <w:rPr>
                <w:rFonts w:ascii="Calibri" w:eastAsia="Times New Roman" w:hAnsi="Calibri" w:cs="Calibri"/>
                <w:kern w:val="0"/>
                <w14:ligatures w14:val="none"/>
              </w:rPr>
              <w:t>the cause of rising utility bills along with creating water supply problems as well</w:t>
            </w:r>
            <w:r>
              <w:rPr>
                <w:rFonts w:ascii="Calibri" w:eastAsia="Times New Roman" w:hAnsi="Calibri" w:cs="Calibri"/>
                <w:kern w:val="0"/>
                <w14:ligatures w14:val="none"/>
              </w:rPr>
              <w:t xml:space="preserve">.  The electricity cost argument is addressed in the analysis below.  The water issue has been put in proper perspective in more detail in </w:t>
            </w:r>
            <w:hyperlink r:id="rId7" w:history="1">
              <w:r w:rsidRPr="00A659BD">
                <w:rPr>
                  <w:rStyle w:val="Hyperlink"/>
                  <w:rFonts w:ascii="Calibri" w:eastAsia="Times New Roman" w:hAnsi="Calibri" w:cs="Calibri"/>
                  <w:kern w:val="0"/>
                  <w14:ligatures w14:val="none"/>
                </w:rPr>
                <w:t>other sources</w:t>
              </w:r>
            </w:hyperlink>
            <w:r>
              <w:rPr>
                <w:rFonts w:ascii="Calibri" w:eastAsia="Times New Roman" w:hAnsi="Calibri" w:cs="Calibri"/>
                <w:kern w:val="0"/>
                <w14:ligatures w14:val="none"/>
              </w:rPr>
              <w:t>.</w:t>
            </w:r>
          </w:p>
          <w:p w14:paraId="1A2B1DAC" w14:textId="77777777" w:rsidR="00A659BD" w:rsidRDefault="00A659BD" w:rsidP="00082E66">
            <w:pPr>
              <w:rPr>
                <w:rFonts w:ascii="Calibri" w:eastAsia="Times New Roman" w:hAnsi="Calibri" w:cs="Calibri"/>
                <w:kern w:val="0"/>
                <w14:ligatures w14:val="none"/>
              </w:rPr>
            </w:pPr>
          </w:p>
          <w:p w14:paraId="36829B9D" w14:textId="772F5879" w:rsidR="00A659BD" w:rsidRDefault="00BE20CC" w:rsidP="00082E66">
            <w:pPr>
              <w:rPr>
                <w:rFonts w:ascii="Calibri" w:eastAsia="Times New Roman" w:hAnsi="Calibri" w:cs="Calibri"/>
                <w:kern w:val="0"/>
                <w14:ligatures w14:val="none"/>
              </w:rPr>
            </w:pPr>
            <w:r>
              <w:rPr>
                <w:rFonts w:ascii="Calibri" w:eastAsia="Times New Roman" w:hAnsi="Calibri" w:cs="Calibri"/>
                <w:kern w:val="0"/>
                <w14:ligatures w14:val="none"/>
              </w:rPr>
              <w:t xml:space="preserve">The analysis considers two potential cost factors and their effect on current state average electricity prices:  data centers and state generation restrictions under their climate change programs.  The analysis uses relatively simple linear regression models to assess the relative contributions of these two factors to assess whether </w:t>
            </w:r>
            <w:r w:rsidR="00361363">
              <w:rPr>
                <w:rFonts w:ascii="Calibri" w:eastAsia="Times New Roman" w:hAnsi="Calibri" w:cs="Calibri"/>
                <w:kern w:val="0"/>
                <w14:ligatures w14:val="none"/>
              </w:rPr>
              <w:t>the data center contention holds any water.  The analysis does not address the many other factors that go into the determination of electricity rates in each state—an exercise somewhat beyond the ability of a monthly report</w:t>
            </w:r>
            <w:r w:rsidR="00E6055F">
              <w:rPr>
                <w:rFonts w:ascii="Calibri" w:eastAsia="Times New Roman" w:hAnsi="Calibri" w:cs="Calibri"/>
                <w:kern w:val="0"/>
                <w14:ligatures w14:val="none"/>
              </w:rPr>
              <w:t>—</w:t>
            </w:r>
            <w:r w:rsidR="00AD57EB">
              <w:rPr>
                <w:rFonts w:ascii="Calibri" w:eastAsia="Times New Roman" w:hAnsi="Calibri" w:cs="Calibri"/>
                <w:kern w:val="0"/>
                <w14:ligatures w14:val="none"/>
              </w:rPr>
              <w:t>but instead focuses on these two key elements.  As such, the results suggest where policy actions to help resolve the current cost rises should focus.</w:t>
            </w:r>
          </w:p>
          <w:p w14:paraId="428A2020" w14:textId="77777777" w:rsidR="00AD57EB" w:rsidRDefault="00AD57EB" w:rsidP="00082E66">
            <w:pPr>
              <w:rPr>
                <w:rFonts w:ascii="Calibri" w:eastAsia="Times New Roman" w:hAnsi="Calibri" w:cs="Calibri"/>
                <w:kern w:val="0"/>
                <w14:ligatures w14:val="none"/>
              </w:rPr>
            </w:pPr>
          </w:p>
          <w:p w14:paraId="25EDC55B" w14:textId="1C007AA9" w:rsidR="00AD57EB" w:rsidRDefault="007742E5" w:rsidP="00082E66">
            <w:pPr>
              <w:rPr>
                <w:rFonts w:ascii="Calibri" w:eastAsia="Times New Roman" w:hAnsi="Calibri" w:cs="Calibri"/>
                <w:kern w:val="0"/>
                <w14:ligatures w14:val="none"/>
              </w:rPr>
            </w:pPr>
            <w:r>
              <w:rPr>
                <w:rFonts w:ascii="Calibri" w:eastAsia="Times New Roman" w:hAnsi="Calibri" w:cs="Calibri"/>
                <w:b/>
                <w:bCs/>
                <w:kern w:val="0"/>
                <w:u w:val="single"/>
                <w14:ligatures w14:val="none"/>
              </w:rPr>
              <w:t xml:space="preserve">Data </w:t>
            </w:r>
            <w:r w:rsidRPr="007742E5">
              <w:rPr>
                <w:rFonts w:ascii="Calibri" w:eastAsia="Times New Roman" w:hAnsi="Calibri" w:cs="Calibri"/>
                <w:b/>
                <w:bCs/>
                <w:kern w:val="0"/>
                <w:u w:val="single"/>
                <w14:ligatures w14:val="none"/>
              </w:rPr>
              <w:t>Sources</w:t>
            </w:r>
            <w:r w:rsidRPr="007742E5">
              <w:rPr>
                <w:rFonts w:ascii="Calibri" w:eastAsia="Times New Roman" w:hAnsi="Calibri" w:cs="Calibri"/>
                <w:b/>
                <w:bCs/>
                <w:kern w:val="0"/>
                <w14:ligatures w14:val="none"/>
              </w:rPr>
              <w:t>.</w:t>
            </w:r>
            <w:r>
              <w:rPr>
                <w:rFonts w:ascii="Calibri" w:eastAsia="Times New Roman" w:hAnsi="Calibri" w:cs="Calibri"/>
                <w:kern w:val="0"/>
                <w14:ligatures w14:val="none"/>
              </w:rPr>
              <w:t xml:space="preserve">  </w:t>
            </w:r>
            <w:r w:rsidR="00AD57EB" w:rsidRPr="007742E5">
              <w:rPr>
                <w:rFonts w:ascii="Calibri" w:eastAsia="Times New Roman" w:hAnsi="Calibri" w:cs="Calibri"/>
                <w:kern w:val="0"/>
                <w14:ligatures w14:val="none"/>
              </w:rPr>
              <w:t>Data</w:t>
            </w:r>
            <w:r w:rsidR="00AD57EB">
              <w:rPr>
                <w:rFonts w:ascii="Calibri" w:eastAsia="Times New Roman" w:hAnsi="Calibri" w:cs="Calibri"/>
                <w:kern w:val="0"/>
                <w14:ligatures w14:val="none"/>
              </w:rPr>
              <w:t xml:space="preserve"> used in the analysis is taken from the following sources.  While additional sources may be available, in general we continue to prefer publicly accessible data in keeping with our effort to keep our analyses as fully transparent as possible.  Anyone with questions or criticisms of our results consequently is able to “play at home along with us” and access the same data and crunch it on their own.</w:t>
            </w:r>
          </w:p>
          <w:p w14:paraId="11DCDDC9" w14:textId="77777777" w:rsidR="00AD57EB" w:rsidRDefault="00AD57EB" w:rsidP="00082E66">
            <w:pPr>
              <w:rPr>
                <w:rFonts w:ascii="Calibri" w:eastAsia="Times New Roman" w:hAnsi="Calibri" w:cs="Calibri"/>
                <w:kern w:val="0"/>
                <w14:ligatures w14:val="none"/>
              </w:rPr>
            </w:pPr>
          </w:p>
          <w:p w14:paraId="4C97F261" w14:textId="0C297B23" w:rsidR="00AD57EB" w:rsidRDefault="00AD57EB" w:rsidP="00082E66">
            <w:pPr>
              <w:rPr>
                <w:rFonts w:ascii="Calibri" w:eastAsia="Times New Roman" w:hAnsi="Calibri" w:cs="Calibri"/>
                <w:kern w:val="0"/>
                <w14:ligatures w14:val="none"/>
              </w:rPr>
            </w:pPr>
            <w:r>
              <w:rPr>
                <w:rFonts w:ascii="Calibri" w:eastAsia="Times New Roman" w:hAnsi="Calibri" w:cs="Calibri"/>
                <w:kern w:val="0"/>
                <w14:ligatures w14:val="none"/>
              </w:rPr>
              <w:t xml:space="preserve">Data Center data is generally not available in any sort of definitive form.  There are a number of different sources that provide some publicly accessible summaries, but these vary widely in their counts and additional information such as </w:t>
            </w:r>
            <w:r w:rsidR="007742E5">
              <w:rPr>
                <w:rFonts w:ascii="Calibri" w:eastAsia="Times New Roman" w:hAnsi="Calibri" w:cs="Calibri"/>
                <w:kern w:val="0"/>
                <w14:ligatures w14:val="none"/>
              </w:rPr>
              <w:t xml:space="preserve">size and </w:t>
            </w:r>
            <w:r>
              <w:rPr>
                <w:rFonts w:ascii="Calibri" w:eastAsia="Times New Roman" w:hAnsi="Calibri" w:cs="Calibri"/>
                <w:kern w:val="0"/>
                <w14:ligatures w14:val="none"/>
              </w:rPr>
              <w:t xml:space="preserve">capacity.  </w:t>
            </w:r>
            <w:r w:rsidR="002C205D">
              <w:rPr>
                <w:rFonts w:ascii="Calibri" w:eastAsia="Times New Roman" w:hAnsi="Calibri" w:cs="Calibri"/>
                <w:kern w:val="0"/>
                <w14:ligatures w14:val="none"/>
              </w:rPr>
              <w:t xml:space="preserve">  </w:t>
            </w:r>
            <w:r>
              <w:rPr>
                <w:rFonts w:ascii="Calibri" w:eastAsia="Times New Roman" w:hAnsi="Calibri" w:cs="Calibri"/>
                <w:kern w:val="0"/>
                <w14:ligatures w14:val="none"/>
              </w:rPr>
              <w:t>For example, some of the more often used sources include</w:t>
            </w:r>
            <w:r w:rsidR="002C205D">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 </w:t>
            </w:r>
            <w:hyperlink r:id="rId8" w:history="1">
              <w:r w:rsidRPr="00AD57EB">
                <w:rPr>
                  <w:rStyle w:val="Hyperlink"/>
                  <w:rFonts w:ascii="Calibri" w:eastAsia="Times New Roman" w:hAnsi="Calibri" w:cs="Calibri"/>
                  <w:kern w:val="0"/>
                  <w14:ligatures w14:val="none"/>
                </w:rPr>
                <w:t>Aterio</w:t>
              </w:r>
            </w:hyperlink>
            <w:r>
              <w:rPr>
                <w:rFonts w:ascii="Calibri" w:eastAsia="Times New Roman" w:hAnsi="Calibri" w:cs="Calibri"/>
                <w:kern w:val="0"/>
                <w14:ligatures w14:val="none"/>
              </w:rPr>
              <w:t xml:space="preserve"> listing 1,938 existing centers (plus 608 under construction and 2,669 announced) along with their estimated </w:t>
            </w:r>
            <w:r w:rsidR="002C205D">
              <w:rPr>
                <w:rFonts w:ascii="Calibri" w:eastAsia="Times New Roman" w:hAnsi="Calibri" w:cs="Calibri"/>
                <w:kern w:val="0"/>
                <w14:ligatures w14:val="none"/>
              </w:rPr>
              <w:t xml:space="preserve">power capacity, </w:t>
            </w:r>
            <w:hyperlink r:id="rId9" w:history="1">
              <w:r w:rsidR="002C205D" w:rsidRPr="002C205D">
                <w:rPr>
                  <w:rStyle w:val="Hyperlink"/>
                  <w:rFonts w:ascii="Calibri" w:eastAsia="Times New Roman" w:hAnsi="Calibri" w:cs="Calibri"/>
                  <w:kern w:val="0"/>
                  <w14:ligatures w14:val="none"/>
                </w:rPr>
                <w:t>Hitachi Energy</w:t>
              </w:r>
            </w:hyperlink>
            <w:r w:rsidR="002C205D">
              <w:rPr>
                <w:rFonts w:ascii="Calibri" w:eastAsia="Times New Roman" w:hAnsi="Calibri" w:cs="Calibri"/>
                <w:kern w:val="0"/>
                <w14:ligatures w14:val="none"/>
              </w:rPr>
              <w:t xml:space="preserve"> which has no accessible summaries but which is used in some Department of Energy reports, </w:t>
            </w:r>
            <w:hyperlink r:id="rId10" w:history="1">
              <w:r w:rsidR="002C205D" w:rsidRPr="002C205D">
                <w:rPr>
                  <w:rStyle w:val="Hyperlink"/>
                  <w:rFonts w:ascii="Calibri" w:eastAsia="Times New Roman" w:hAnsi="Calibri" w:cs="Calibri"/>
                  <w:kern w:val="0"/>
                  <w14:ligatures w14:val="none"/>
                </w:rPr>
                <w:t>Data Center Map</w:t>
              </w:r>
            </w:hyperlink>
            <w:r w:rsidR="002C205D">
              <w:rPr>
                <w:rFonts w:ascii="Calibri" w:eastAsia="Times New Roman" w:hAnsi="Calibri" w:cs="Calibri"/>
                <w:kern w:val="0"/>
                <w14:ligatures w14:val="none"/>
              </w:rPr>
              <w:t xml:space="preserve"> listing 3,770 centers </w:t>
            </w:r>
            <w:r w:rsidR="00E05C17">
              <w:rPr>
                <w:rFonts w:ascii="Calibri" w:eastAsia="Times New Roman" w:hAnsi="Calibri" w:cs="Calibri"/>
                <w:kern w:val="0"/>
                <w14:ligatures w14:val="none"/>
              </w:rPr>
              <w:t xml:space="preserve">by state but </w:t>
            </w:r>
            <w:r w:rsidR="002C205D">
              <w:rPr>
                <w:rFonts w:ascii="Calibri" w:eastAsia="Times New Roman" w:hAnsi="Calibri" w:cs="Calibri"/>
                <w:kern w:val="0"/>
                <w14:ligatures w14:val="none"/>
              </w:rPr>
              <w:t xml:space="preserve">with no additional information, and </w:t>
            </w:r>
            <w:hyperlink r:id="rId11" w:history="1">
              <w:r w:rsidR="002C205D" w:rsidRPr="002C205D">
                <w:rPr>
                  <w:rStyle w:val="Hyperlink"/>
                  <w:rFonts w:ascii="Calibri" w:eastAsia="Times New Roman" w:hAnsi="Calibri" w:cs="Calibri"/>
                  <w:kern w:val="0"/>
                  <w14:ligatures w14:val="none"/>
                </w:rPr>
                <w:t>Business Insider</w:t>
              </w:r>
            </w:hyperlink>
            <w:r w:rsidR="002C205D">
              <w:rPr>
                <w:rFonts w:ascii="Calibri" w:eastAsia="Times New Roman" w:hAnsi="Calibri" w:cs="Calibri"/>
                <w:kern w:val="0"/>
                <w14:ligatures w14:val="none"/>
              </w:rPr>
              <w:t xml:space="preserve"> listing 1,240 existing centers along with estimate</w:t>
            </w:r>
            <w:r w:rsidR="00F94FA7">
              <w:rPr>
                <w:rFonts w:ascii="Calibri" w:eastAsia="Times New Roman" w:hAnsi="Calibri" w:cs="Calibri"/>
                <w:kern w:val="0"/>
                <w14:ligatures w14:val="none"/>
              </w:rPr>
              <w:t>d</w:t>
            </w:r>
            <w:r w:rsidR="002C205D">
              <w:rPr>
                <w:rFonts w:ascii="Calibri" w:eastAsia="Times New Roman" w:hAnsi="Calibri" w:cs="Calibri"/>
                <w:kern w:val="0"/>
                <w14:ligatures w14:val="none"/>
              </w:rPr>
              <w:t xml:space="preserve"> annual power consumption.  In most cases, the numbers in the different sources shown for the major data center states are closer than the overall totals.  Some of the key reasons behind the differences appear to be whether just existing centers </w:t>
            </w:r>
            <w:r w:rsidR="00170C2B">
              <w:rPr>
                <w:rFonts w:ascii="Calibri" w:eastAsia="Times New Roman" w:hAnsi="Calibri" w:cs="Calibri"/>
                <w:kern w:val="0"/>
                <w14:ligatures w14:val="none"/>
              </w:rPr>
              <w:t xml:space="preserve">are covered </w:t>
            </w:r>
            <w:r w:rsidR="002C205D">
              <w:rPr>
                <w:rFonts w:ascii="Calibri" w:eastAsia="Times New Roman" w:hAnsi="Calibri" w:cs="Calibri"/>
                <w:kern w:val="0"/>
                <w14:ligatures w14:val="none"/>
              </w:rPr>
              <w:t>or under construction and proposed are included as well, and the extent to which small and medium centers, especially those associated with a larger operation, are included.</w:t>
            </w:r>
            <w:r w:rsidR="00F94FA7">
              <w:rPr>
                <w:rFonts w:ascii="Calibri" w:eastAsia="Times New Roman" w:hAnsi="Calibri" w:cs="Calibri"/>
                <w:kern w:val="0"/>
                <w14:ligatures w14:val="none"/>
              </w:rPr>
              <w:t xml:space="preserve">  These sources also treat crypto mining operations inconsistently.</w:t>
            </w:r>
          </w:p>
          <w:p w14:paraId="195FB068" w14:textId="77777777" w:rsidR="00E27F1D" w:rsidRDefault="00E27F1D" w:rsidP="00082E66">
            <w:pPr>
              <w:rPr>
                <w:rFonts w:ascii="Calibri" w:eastAsia="Times New Roman" w:hAnsi="Calibri" w:cs="Calibri"/>
                <w:kern w:val="0"/>
                <w14:ligatures w14:val="none"/>
              </w:rPr>
            </w:pPr>
          </w:p>
          <w:p w14:paraId="62E63CBE" w14:textId="32A9DCA7" w:rsidR="00170C2B" w:rsidRDefault="00E27F1D" w:rsidP="00082E66">
            <w:pPr>
              <w:rPr>
                <w:rFonts w:ascii="Calibri" w:eastAsia="Times New Roman" w:hAnsi="Calibri" w:cs="Calibri"/>
                <w:kern w:val="0"/>
                <w14:ligatures w14:val="none"/>
              </w:rPr>
            </w:pPr>
            <w:r>
              <w:rPr>
                <w:rFonts w:ascii="Calibri" w:eastAsia="Times New Roman" w:hAnsi="Calibri" w:cs="Calibri"/>
                <w:kern w:val="0"/>
                <w14:ligatures w14:val="none"/>
              </w:rPr>
              <w:t xml:space="preserve">For the analysis, several different data center measures were assessed, including </w:t>
            </w:r>
            <w:r w:rsidR="00170C2B">
              <w:rPr>
                <w:rFonts w:ascii="Calibri" w:eastAsia="Times New Roman" w:hAnsi="Calibri" w:cs="Calibri"/>
                <w:kern w:val="0"/>
                <w14:ligatures w14:val="none"/>
              </w:rPr>
              <w:t xml:space="preserve">the capacity and power consumption numbers as above along with data center power use as a share of each state’s total, as taken from the </w:t>
            </w:r>
            <w:hyperlink r:id="rId12" w:history="1">
              <w:r w:rsidR="00170C2B" w:rsidRPr="00E6055F">
                <w:rPr>
                  <w:rStyle w:val="Hyperlink"/>
                  <w:rFonts w:ascii="Calibri" w:eastAsia="Times New Roman" w:hAnsi="Calibri" w:cs="Calibri"/>
                  <w:kern w:val="0"/>
                  <w14:ligatures w14:val="none"/>
                </w:rPr>
                <w:t>2024 EPRI report</w:t>
              </w:r>
            </w:hyperlink>
            <w:r w:rsidR="00170C2B">
              <w:rPr>
                <w:rFonts w:ascii="Calibri" w:eastAsia="Times New Roman" w:hAnsi="Calibri" w:cs="Calibri"/>
                <w:kern w:val="0"/>
                <w14:ligatures w14:val="none"/>
              </w:rPr>
              <w:t xml:space="preserve"> generally cited as the source of this data point.</w:t>
            </w:r>
          </w:p>
          <w:p w14:paraId="661834FF" w14:textId="77777777" w:rsidR="00170C2B" w:rsidRDefault="00170C2B" w:rsidP="00082E66">
            <w:pPr>
              <w:rPr>
                <w:rFonts w:ascii="Calibri" w:eastAsia="Times New Roman" w:hAnsi="Calibri" w:cs="Calibri"/>
                <w:kern w:val="0"/>
                <w14:ligatures w14:val="none"/>
              </w:rPr>
            </w:pPr>
          </w:p>
          <w:p w14:paraId="67FFF4FE" w14:textId="605A5F03" w:rsidR="00170C2B" w:rsidRDefault="00170C2B" w:rsidP="00082E66">
            <w:pPr>
              <w:rPr>
                <w:rFonts w:ascii="Calibri" w:eastAsia="Times New Roman" w:hAnsi="Calibri" w:cs="Calibri"/>
                <w:kern w:val="0"/>
                <w14:ligatures w14:val="none"/>
              </w:rPr>
            </w:pPr>
            <w:r>
              <w:rPr>
                <w:rFonts w:ascii="Calibri" w:eastAsia="Times New Roman" w:hAnsi="Calibri" w:cs="Calibri"/>
                <w:kern w:val="0"/>
                <w14:ligatures w14:val="none"/>
              </w:rPr>
              <w:t xml:space="preserve">State energy policies are assessed as a binary data point (1 if the state has such a policy and 0 if not) for the various state energy policies covered in the most recent updated Lawrence Berkeley National Laboratory Report on </w:t>
            </w:r>
            <w:hyperlink r:id="rId13" w:history="1">
              <w:r w:rsidRPr="00170C2B">
                <w:rPr>
                  <w:rStyle w:val="Hyperlink"/>
                  <w:rFonts w:ascii="Calibri" w:eastAsia="Times New Roman" w:hAnsi="Calibri" w:cs="Calibri"/>
                  <w:kern w:val="0"/>
                  <w14:ligatures w14:val="none"/>
                </w:rPr>
                <w:t>U.S. State Electricity Resource Standards</w:t>
              </w:r>
            </w:hyperlink>
            <w:r>
              <w:rPr>
                <w:rFonts w:ascii="Calibri" w:eastAsia="Times New Roman" w:hAnsi="Calibri" w:cs="Calibri"/>
                <w:kern w:val="0"/>
                <w14:ligatures w14:val="none"/>
              </w:rPr>
              <w:t xml:space="preserve">.   The analysis considered 4 different policy levels maintained by the states:  </w:t>
            </w:r>
            <w:r w:rsidR="00593873">
              <w:rPr>
                <w:rFonts w:ascii="Calibri" w:eastAsia="Times New Roman" w:hAnsi="Calibri" w:cs="Calibri"/>
                <w:kern w:val="0"/>
                <w14:ligatures w14:val="none"/>
              </w:rPr>
              <w:t>Renewal Portfolio Standard (RPS) requiring electricity retail providers to obtain specified percentages of their power from specified renewable generation sources, RPS requiring 50% or more renewables, RPS requiring 100% renewables, and a Clean Energy Standard that is similar to an RPS but can cover a broader range of “clean” technologies such as nuclear and fossil fuel with carbon capture.</w:t>
            </w:r>
          </w:p>
          <w:p w14:paraId="55202AC9" w14:textId="77777777" w:rsidR="00593873" w:rsidRDefault="00593873" w:rsidP="00082E66">
            <w:pPr>
              <w:rPr>
                <w:rFonts w:ascii="Calibri" w:eastAsia="Times New Roman" w:hAnsi="Calibri" w:cs="Calibri"/>
                <w:kern w:val="0"/>
                <w14:ligatures w14:val="none"/>
              </w:rPr>
            </w:pPr>
          </w:p>
          <w:p w14:paraId="46165902" w14:textId="4FA9836C" w:rsidR="00593873" w:rsidRDefault="00593873" w:rsidP="00082E66">
            <w:pPr>
              <w:rPr>
                <w:rFonts w:ascii="Calibri" w:eastAsia="Times New Roman" w:hAnsi="Calibri" w:cs="Calibri"/>
                <w:kern w:val="0"/>
                <w14:ligatures w14:val="none"/>
              </w:rPr>
            </w:pPr>
            <w:r>
              <w:rPr>
                <w:rFonts w:ascii="Calibri" w:eastAsia="Times New Roman" w:hAnsi="Calibri" w:cs="Calibri"/>
                <w:kern w:val="0"/>
                <w14:ligatures w14:val="none"/>
              </w:rPr>
              <w:lastRenderedPageBreak/>
              <w:t xml:space="preserve">Electricity costs come from the </w:t>
            </w:r>
            <w:hyperlink r:id="rId14" w:history="1">
              <w:r w:rsidRPr="007742E5">
                <w:rPr>
                  <w:rStyle w:val="Hyperlink"/>
                  <w:rFonts w:ascii="Calibri" w:eastAsia="Times New Roman" w:hAnsi="Calibri" w:cs="Calibri"/>
                  <w:kern w:val="0"/>
                  <w14:ligatures w14:val="none"/>
                </w:rPr>
                <w:t>US Energy Information Administration</w:t>
              </w:r>
            </w:hyperlink>
            <w:r>
              <w:rPr>
                <w:rFonts w:ascii="Calibri" w:eastAsia="Times New Roman" w:hAnsi="Calibri" w:cs="Calibri"/>
                <w:kern w:val="0"/>
                <w14:ligatures w14:val="none"/>
              </w:rPr>
              <w:t xml:space="preserve"> data used in these reports.  Different specifications were analyzed, including current average cost per kWh (12-month average ending in the most recent month available, October 2025) for both residential users and total electricity users, and change (both absolute and percentage) comparing the most recent 12-month period with the same period ending October 2020 (the inflection point for the current acceleration in California costs) and ending October 2022 (just prior to the announcement of ChatGPT).</w:t>
            </w:r>
          </w:p>
          <w:p w14:paraId="28D1EA38" w14:textId="77777777" w:rsidR="00593873" w:rsidRDefault="00593873" w:rsidP="00082E66">
            <w:pPr>
              <w:rPr>
                <w:rFonts w:ascii="Calibri" w:eastAsia="Times New Roman" w:hAnsi="Calibri" w:cs="Calibri"/>
                <w:kern w:val="0"/>
                <w14:ligatures w14:val="none"/>
              </w:rPr>
            </w:pPr>
          </w:p>
          <w:p w14:paraId="350822F4" w14:textId="0F8019DA" w:rsidR="00593873" w:rsidRDefault="007742E5" w:rsidP="00082E66">
            <w:pPr>
              <w:rPr>
                <w:rFonts w:ascii="Calibri" w:eastAsia="Times New Roman" w:hAnsi="Calibri" w:cs="Calibri"/>
                <w:kern w:val="0"/>
                <w14:ligatures w14:val="none"/>
              </w:rPr>
            </w:pPr>
            <w:r>
              <w:rPr>
                <w:rFonts w:ascii="Calibri" w:eastAsia="Times New Roman" w:hAnsi="Calibri" w:cs="Calibri"/>
                <w:b/>
                <w:bCs/>
                <w:kern w:val="0"/>
                <w:u w:val="single"/>
                <w14:ligatures w14:val="none"/>
              </w:rPr>
              <w:t>Results</w:t>
            </w:r>
            <w:r>
              <w:rPr>
                <w:rFonts w:ascii="Calibri" w:eastAsia="Times New Roman" w:hAnsi="Calibri" w:cs="Calibri"/>
                <w:b/>
                <w:bCs/>
                <w:kern w:val="0"/>
                <w14:ligatures w14:val="none"/>
              </w:rPr>
              <w:t xml:space="preserve">.  </w:t>
            </w:r>
            <w:r>
              <w:rPr>
                <w:rFonts w:ascii="Calibri" w:eastAsia="Times New Roman" w:hAnsi="Calibri" w:cs="Calibri"/>
                <w:kern w:val="0"/>
                <w14:ligatures w14:val="none"/>
              </w:rPr>
              <w:t>After considering a large number of combinations, the two best regression outcomes are shown in the tables below.  In summary:</w:t>
            </w:r>
          </w:p>
          <w:p w14:paraId="1B1FE4D9" w14:textId="77777777" w:rsidR="007742E5" w:rsidRDefault="007742E5" w:rsidP="00082E66">
            <w:pPr>
              <w:rPr>
                <w:rFonts w:ascii="Calibri" w:eastAsia="Times New Roman" w:hAnsi="Calibri" w:cs="Calibri"/>
                <w:kern w:val="0"/>
                <w14:ligatures w14:val="none"/>
              </w:rPr>
            </w:pPr>
          </w:p>
          <w:p w14:paraId="2850150A" w14:textId="77423C72" w:rsidR="007742E5" w:rsidRPr="00B53CA4" w:rsidRDefault="000C2DED" w:rsidP="00B53CA4">
            <w:pPr>
              <w:pStyle w:val="ListParagraph"/>
              <w:numPr>
                <w:ilvl w:val="0"/>
                <w:numId w:val="1"/>
              </w:numPr>
              <w:rPr>
                <w:rFonts w:ascii="Calibri" w:eastAsia="Times New Roman" w:hAnsi="Calibri" w:cs="Calibri"/>
                <w:kern w:val="0"/>
                <w14:ligatures w14:val="none"/>
              </w:rPr>
            </w:pPr>
            <w:r w:rsidRPr="00B53CA4">
              <w:rPr>
                <w:rFonts w:ascii="Calibri" w:eastAsia="Times New Roman" w:hAnsi="Calibri" w:cs="Calibri"/>
                <w:kern w:val="0"/>
                <w14:ligatures w14:val="none"/>
              </w:rPr>
              <w:t xml:space="preserve">The data center specifications were significant only in a few instances, and even then generally at the 90% confidence interval rather than 95%.  The outcomes below </w:t>
            </w:r>
            <w:r w:rsidR="005C6611">
              <w:rPr>
                <w:rFonts w:ascii="Calibri" w:eastAsia="Times New Roman" w:hAnsi="Calibri" w:cs="Calibri"/>
                <w:kern w:val="0"/>
                <w14:ligatures w14:val="none"/>
              </w:rPr>
              <w:t>include one of the few instances where this factor</w:t>
            </w:r>
            <w:r w:rsidRPr="00B53CA4">
              <w:rPr>
                <w:rFonts w:ascii="Calibri" w:eastAsia="Times New Roman" w:hAnsi="Calibri" w:cs="Calibri"/>
                <w:kern w:val="0"/>
                <w14:ligatures w14:val="none"/>
              </w:rPr>
              <w:t xml:space="preserve"> was significant at the 95% level.</w:t>
            </w:r>
          </w:p>
          <w:p w14:paraId="324DFE42" w14:textId="77777777" w:rsidR="000C2DED" w:rsidRDefault="000C2DED" w:rsidP="00082E66">
            <w:pPr>
              <w:rPr>
                <w:rFonts w:ascii="Calibri" w:eastAsia="Times New Roman" w:hAnsi="Calibri" w:cs="Calibri"/>
                <w:kern w:val="0"/>
                <w14:ligatures w14:val="none"/>
              </w:rPr>
            </w:pPr>
          </w:p>
          <w:p w14:paraId="65AA1857" w14:textId="76DB17D7" w:rsidR="000C2DED" w:rsidRPr="00B53CA4" w:rsidRDefault="000C2DED" w:rsidP="00B53CA4">
            <w:pPr>
              <w:pStyle w:val="ListParagraph"/>
              <w:numPr>
                <w:ilvl w:val="0"/>
                <w:numId w:val="1"/>
              </w:numPr>
              <w:rPr>
                <w:rFonts w:ascii="Calibri" w:eastAsia="Times New Roman" w:hAnsi="Calibri" w:cs="Calibri"/>
                <w:kern w:val="0"/>
                <w14:ligatures w14:val="none"/>
              </w:rPr>
            </w:pPr>
            <w:r w:rsidRPr="00B53CA4">
              <w:rPr>
                <w:rFonts w:ascii="Calibri" w:eastAsia="Times New Roman" w:hAnsi="Calibri" w:cs="Calibri"/>
                <w:kern w:val="0"/>
                <w14:ligatures w14:val="none"/>
              </w:rPr>
              <w:t>The data center coefficients were negative in all the cases assessed.  While this may be counterintuitive given the tone of recent press coverage, these outcomes suggest that at least to date, data center power usage has not increased state power costs.  The negative cost effect instead may be due to a number of factors, including:  data centers improve base load consumption levels, leading to more efficient use of the generation system and spreading grid and other capital costs over that broader base; improved base load consumption makes better use of renewable generation when it is available; similarly, this consumption is better positioned to access excess renewable generation when it is available, such as California’s dumping at times of renewable power at fire sale prices; data centers maintain backup power in sufficient quantity to provide a grid benefit during shortages or outages; and many rec</w:t>
            </w:r>
            <w:r w:rsidR="00BF2E4A" w:rsidRPr="00B53CA4">
              <w:rPr>
                <w:rFonts w:ascii="Calibri" w:eastAsia="Times New Roman" w:hAnsi="Calibri" w:cs="Calibri"/>
                <w:kern w:val="0"/>
                <w14:ligatures w14:val="none"/>
              </w:rPr>
              <w:t>ent projects especially larger project and project concentrations have moved to secure their own power sources, overall increasing grid reliability at their own rather than ratepayer expense.</w:t>
            </w:r>
            <w:r w:rsidR="00BB30F9">
              <w:rPr>
                <w:rFonts w:ascii="Calibri" w:eastAsia="Times New Roman" w:hAnsi="Calibri" w:cs="Calibri"/>
                <w:kern w:val="0"/>
                <w14:ligatures w14:val="none"/>
              </w:rPr>
              <w:t xml:space="preserve">  Alternatively, states with more data center development may simply be paying more attention and management both the cost and reliability of their systems, while the experience in California has been to forge ahead with the RPS and associated climate change goals often regardless of cost.</w:t>
            </w:r>
          </w:p>
          <w:p w14:paraId="0EF7FD69" w14:textId="77777777" w:rsidR="00BF2E4A" w:rsidRDefault="00BF2E4A" w:rsidP="00082E66">
            <w:pPr>
              <w:rPr>
                <w:rFonts w:ascii="Calibri" w:eastAsia="Times New Roman" w:hAnsi="Calibri" w:cs="Calibri"/>
                <w:kern w:val="0"/>
                <w14:ligatures w14:val="none"/>
              </w:rPr>
            </w:pPr>
          </w:p>
          <w:p w14:paraId="49825A21" w14:textId="694D26E6" w:rsidR="00BF2E4A" w:rsidRPr="00B53CA4" w:rsidRDefault="00BF2E4A" w:rsidP="00B53CA4">
            <w:pPr>
              <w:pStyle w:val="ListParagraph"/>
              <w:numPr>
                <w:ilvl w:val="0"/>
                <w:numId w:val="1"/>
              </w:numPr>
              <w:rPr>
                <w:rFonts w:ascii="Calibri" w:eastAsia="Times New Roman" w:hAnsi="Calibri" w:cs="Calibri"/>
                <w:kern w:val="0"/>
                <w14:ligatures w14:val="none"/>
              </w:rPr>
            </w:pPr>
            <w:r w:rsidRPr="00B53CA4">
              <w:rPr>
                <w:rFonts w:ascii="Calibri" w:eastAsia="Times New Roman" w:hAnsi="Calibri" w:cs="Calibri"/>
                <w:kern w:val="0"/>
                <w14:ligatures w14:val="none"/>
              </w:rPr>
              <w:t>The energy policy specifications were generally significant across</w:t>
            </w:r>
            <w:r w:rsidR="00E05C17">
              <w:rPr>
                <w:rFonts w:ascii="Calibri" w:eastAsia="Times New Roman" w:hAnsi="Calibri" w:cs="Calibri"/>
                <w:kern w:val="0"/>
                <w14:ligatures w14:val="none"/>
              </w:rPr>
              <w:t xml:space="preserve"> the different</w:t>
            </w:r>
            <w:r w:rsidRPr="00B53CA4">
              <w:rPr>
                <w:rFonts w:ascii="Calibri" w:eastAsia="Times New Roman" w:hAnsi="Calibri" w:cs="Calibri"/>
                <w:kern w:val="0"/>
                <w14:ligatures w14:val="none"/>
              </w:rPr>
              <w:t xml:space="preserve"> cases assessed, but </w:t>
            </w:r>
            <w:r w:rsidR="004D3167">
              <w:rPr>
                <w:rFonts w:ascii="Calibri" w:eastAsia="Times New Roman" w:hAnsi="Calibri" w:cs="Calibri"/>
                <w:kern w:val="0"/>
                <w14:ligatures w14:val="none"/>
              </w:rPr>
              <w:t xml:space="preserve">also </w:t>
            </w:r>
            <w:r w:rsidRPr="00B53CA4">
              <w:rPr>
                <w:rFonts w:ascii="Calibri" w:eastAsia="Times New Roman" w:hAnsi="Calibri" w:cs="Calibri"/>
                <w:kern w:val="0"/>
                <w14:ligatures w14:val="none"/>
              </w:rPr>
              <w:t>generally at the higher</w:t>
            </w:r>
            <w:r w:rsidR="00E05C17">
              <w:rPr>
                <w:rFonts w:ascii="Calibri" w:eastAsia="Times New Roman" w:hAnsi="Calibri" w:cs="Calibri"/>
                <w:kern w:val="0"/>
                <w14:ligatures w14:val="none"/>
              </w:rPr>
              <w:t xml:space="preserve"> and more costly</w:t>
            </w:r>
            <w:r w:rsidRPr="00B53CA4">
              <w:rPr>
                <w:rFonts w:ascii="Calibri" w:eastAsia="Times New Roman" w:hAnsi="Calibri" w:cs="Calibri"/>
                <w:kern w:val="0"/>
                <w14:ligatures w14:val="none"/>
              </w:rPr>
              <w:t xml:space="preserve"> range of these policies, namely RPS of 50% or over and RPS of 100% as in California.  CES was not significant in any case.</w:t>
            </w:r>
          </w:p>
          <w:p w14:paraId="759449F1" w14:textId="77777777" w:rsidR="00BF2E4A" w:rsidRDefault="00BF2E4A" w:rsidP="00082E66">
            <w:pPr>
              <w:rPr>
                <w:rFonts w:ascii="Calibri" w:eastAsia="Times New Roman" w:hAnsi="Calibri" w:cs="Calibri"/>
                <w:kern w:val="0"/>
                <w14:ligatures w14:val="none"/>
              </w:rPr>
            </w:pPr>
          </w:p>
          <w:p w14:paraId="28444F4D" w14:textId="77341693" w:rsidR="00B53CA4" w:rsidRDefault="00BF2E4A" w:rsidP="00B53CA4">
            <w:pPr>
              <w:pStyle w:val="ListParagraph"/>
              <w:numPr>
                <w:ilvl w:val="0"/>
                <w:numId w:val="1"/>
              </w:numPr>
              <w:rPr>
                <w:rFonts w:ascii="Calibri" w:eastAsia="Times New Roman" w:hAnsi="Calibri" w:cs="Calibri"/>
                <w:kern w:val="0"/>
                <w14:ligatures w14:val="none"/>
              </w:rPr>
            </w:pPr>
            <w:r w:rsidRPr="00B53CA4">
              <w:rPr>
                <w:rFonts w:ascii="Calibri" w:eastAsia="Times New Roman" w:hAnsi="Calibri" w:cs="Calibri"/>
                <w:kern w:val="0"/>
                <w14:ligatures w14:val="none"/>
              </w:rPr>
              <w:t xml:space="preserve">Looking the results below, </w:t>
            </w:r>
            <w:r w:rsidR="00B53CA4" w:rsidRPr="00B53CA4">
              <w:rPr>
                <w:rFonts w:ascii="Calibri" w:eastAsia="Times New Roman" w:hAnsi="Calibri" w:cs="Calibri"/>
                <w:kern w:val="0"/>
                <w14:ligatures w14:val="none"/>
              </w:rPr>
              <w:t xml:space="preserve">having a RPS of 50% or more </w:t>
            </w:r>
            <w:r w:rsidR="00BB30F9">
              <w:rPr>
                <w:rFonts w:ascii="Calibri" w:eastAsia="Times New Roman" w:hAnsi="Calibri" w:cs="Calibri"/>
                <w:kern w:val="0"/>
                <w14:ligatures w14:val="none"/>
              </w:rPr>
              <w:t xml:space="preserve">is </w:t>
            </w:r>
            <w:r w:rsidR="00E05C17">
              <w:rPr>
                <w:rFonts w:ascii="Calibri" w:eastAsia="Times New Roman" w:hAnsi="Calibri" w:cs="Calibri"/>
                <w:kern w:val="0"/>
                <w14:ligatures w14:val="none"/>
              </w:rPr>
              <w:t xml:space="preserve">associated with </w:t>
            </w:r>
            <w:r w:rsidR="005C6611">
              <w:rPr>
                <w:rFonts w:ascii="Calibri" w:eastAsia="Times New Roman" w:hAnsi="Calibri" w:cs="Calibri"/>
                <w:kern w:val="0"/>
                <w14:ligatures w14:val="none"/>
              </w:rPr>
              <w:t>6.2</w:t>
            </w:r>
            <w:r w:rsidR="00B53CA4" w:rsidRPr="00B53CA4">
              <w:rPr>
                <w:rFonts w:ascii="Calibri" w:eastAsia="Times New Roman" w:hAnsi="Calibri" w:cs="Calibri"/>
                <w:kern w:val="0"/>
                <w14:ligatures w14:val="none"/>
              </w:rPr>
              <w:t xml:space="preserve"> cents </w:t>
            </w:r>
            <w:r w:rsidR="00E05C17">
              <w:rPr>
                <w:rFonts w:ascii="Calibri" w:eastAsia="Times New Roman" w:hAnsi="Calibri" w:cs="Calibri"/>
                <w:kern w:val="0"/>
                <w14:ligatures w14:val="none"/>
              </w:rPr>
              <w:t xml:space="preserve">added </w:t>
            </w:r>
            <w:r w:rsidR="00B53CA4" w:rsidRPr="00B53CA4">
              <w:rPr>
                <w:rFonts w:ascii="Calibri" w:eastAsia="Times New Roman" w:hAnsi="Calibri" w:cs="Calibri"/>
                <w:kern w:val="0"/>
                <w14:ligatures w14:val="none"/>
              </w:rPr>
              <w:t xml:space="preserve">to the average residential electricity rate in the states, </w:t>
            </w:r>
            <w:r w:rsidR="005C6611">
              <w:rPr>
                <w:rFonts w:ascii="Calibri" w:eastAsia="Times New Roman" w:hAnsi="Calibri" w:cs="Calibri"/>
                <w:kern w:val="0"/>
                <w14:ligatures w14:val="none"/>
              </w:rPr>
              <w:t>a RPS of 100% added 5.9 cents more, and</w:t>
            </w:r>
            <w:r w:rsidR="00B53CA4" w:rsidRPr="00B53CA4">
              <w:rPr>
                <w:rFonts w:ascii="Calibri" w:eastAsia="Times New Roman" w:hAnsi="Calibri" w:cs="Calibri"/>
                <w:kern w:val="0"/>
                <w14:ligatures w14:val="none"/>
              </w:rPr>
              <w:t xml:space="preserve"> having a data center consumption share equivalent to California’s reduced the rate by 1.</w:t>
            </w:r>
            <w:r w:rsidR="005C6611">
              <w:rPr>
                <w:rFonts w:ascii="Calibri" w:eastAsia="Times New Roman" w:hAnsi="Calibri" w:cs="Calibri"/>
                <w:kern w:val="0"/>
                <w14:ligatures w14:val="none"/>
              </w:rPr>
              <w:t>1</w:t>
            </w:r>
            <w:r w:rsidR="00B53CA4" w:rsidRPr="00B53CA4">
              <w:rPr>
                <w:rFonts w:ascii="Calibri" w:eastAsia="Times New Roman" w:hAnsi="Calibri" w:cs="Calibri"/>
                <w:kern w:val="0"/>
                <w14:ligatures w14:val="none"/>
              </w:rPr>
              <w:t xml:space="preserve"> cents.  For total average electricity rate, a RPS of 50% or more added </w:t>
            </w:r>
            <w:r w:rsidR="005C6611">
              <w:rPr>
                <w:rFonts w:ascii="Calibri" w:eastAsia="Times New Roman" w:hAnsi="Calibri" w:cs="Calibri"/>
                <w:kern w:val="0"/>
                <w14:ligatures w14:val="none"/>
              </w:rPr>
              <w:t>5.1</w:t>
            </w:r>
            <w:r w:rsidR="00B53CA4" w:rsidRPr="00B53CA4">
              <w:rPr>
                <w:rFonts w:ascii="Calibri" w:eastAsia="Times New Roman" w:hAnsi="Calibri" w:cs="Calibri"/>
                <w:kern w:val="0"/>
                <w14:ligatures w14:val="none"/>
              </w:rPr>
              <w:t xml:space="preserve"> cents to the cost, a RPS of 100% added </w:t>
            </w:r>
            <w:r w:rsidR="00BB30F9">
              <w:rPr>
                <w:rFonts w:ascii="Calibri" w:eastAsia="Times New Roman" w:hAnsi="Calibri" w:cs="Calibri"/>
                <w:kern w:val="0"/>
                <w14:ligatures w14:val="none"/>
              </w:rPr>
              <w:t>6.8</w:t>
            </w:r>
            <w:r w:rsidR="00B53CA4" w:rsidRPr="00B53CA4">
              <w:rPr>
                <w:rFonts w:ascii="Calibri" w:eastAsia="Times New Roman" w:hAnsi="Calibri" w:cs="Calibri"/>
                <w:kern w:val="0"/>
                <w14:ligatures w14:val="none"/>
              </w:rPr>
              <w:t xml:space="preserve"> cents more, and data center consumption equivalent to California </w:t>
            </w:r>
            <w:r w:rsidR="005C6611">
              <w:rPr>
                <w:rFonts w:ascii="Calibri" w:eastAsia="Times New Roman" w:hAnsi="Calibri" w:cs="Calibri"/>
                <w:kern w:val="0"/>
                <w14:ligatures w14:val="none"/>
              </w:rPr>
              <w:t xml:space="preserve">again </w:t>
            </w:r>
            <w:r w:rsidR="00B53CA4" w:rsidRPr="00B53CA4">
              <w:rPr>
                <w:rFonts w:ascii="Calibri" w:eastAsia="Times New Roman" w:hAnsi="Calibri" w:cs="Calibri"/>
                <w:kern w:val="0"/>
                <w14:ligatures w14:val="none"/>
              </w:rPr>
              <w:t>reduced the rate by 1.</w:t>
            </w:r>
            <w:r w:rsidR="005C6611">
              <w:rPr>
                <w:rFonts w:ascii="Calibri" w:eastAsia="Times New Roman" w:hAnsi="Calibri" w:cs="Calibri"/>
                <w:kern w:val="0"/>
                <w14:ligatures w14:val="none"/>
              </w:rPr>
              <w:t>1</w:t>
            </w:r>
            <w:r w:rsidR="00B53CA4" w:rsidRPr="00B53CA4">
              <w:rPr>
                <w:rFonts w:ascii="Calibri" w:eastAsia="Times New Roman" w:hAnsi="Calibri" w:cs="Calibri"/>
                <w:kern w:val="0"/>
                <w14:ligatures w14:val="none"/>
              </w:rPr>
              <w:t xml:space="preserve"> cents.</w:t>
            </w:r>
          </w:p>
          <w:p w14:paraId="10263DBE" w14:textId="77777777" w:rsidR="004D3167" w:rsidRPr="004D3167" w:rsidRDefault="004D3167" w:rsidP="004D3167">
            <w:pPr>
              <w:pStyle w:val="ListParagraph"/>
              <w:rPr>
                <w:rFonts w:ascii="Calibri" w:eastAsia="Times New Roman" w:hAnsi="Calibri" w:cs="Calibri"/>
                <w:kern w:val="0"/>
                <w14:ligatures w14:val="none"/>
              </w:rPr>
            </w:pPr>
          </w:p>
          <w:p w14:paraId="2BDE7474" w14:textId="0E946AF8" w:rsidR="004D3167" w:rsidRPr="00B53CA4" w:rsidRDefault="004D3167" w:rsidP="00B53CA4">
            <w:pPr>
              <w:pStyle w:val="ListParagraph"/>
              <w:numPr>
                <w:ilvl w:val="0"/>
                <w:numId w:val="1"/>
              </w:numPr>
              <w:rPr>
                <w:rFonts w:ascii="Calibri" w:eastAsia="Times New Roman" w:hAnsi="Calibri" w:cs="Calibri"/>
                <w:kern w:val="0"/>
                <w14:ligatures w14:val="none"/>
              </w:rPr>
            </w:pPr>
            <w:r>
              <w:rPr>
                <w:rFonts w:ascii="Calibri" w:eastAsia="Times New Roman" w:hAnsi="Calibri" w:cs="Calibri"/>
                <w:kern w:val="0"/>
                <w14:ligatures w14:val="none"/>
              </w:rPr>
              <w:t xml:space="preserve">Overall, both equations indicate these two factors </w:t>
            </w:r>
            <w:r w:rsidR="00490E29">
              <w:rPr>
                <w:rFonts w:ascii="Calibri" w:eastAsia="Times New Roman" w:hAnsi="Calibri" w:cs="Calibri"/>
                <w:kern w:val="0"/>
                <w14:ligatures w14:val="none"/>
              </w:rPr>
              <w:t>cover</w:t>
            </w:r>
            <w:r>
              <w:rPr>
                <w:rFonts w:ascii="Calibri" w:eastAsia="Times New Roman" w:hAnsi="Calibri" w:cs="Calibri"/>
                <w:kern w:val="0"/>
                <w14:ligatures w14:val="none"/>
              </w:rPr>
              <w:t xml:space="preserve"> </w:t>
            </w:r>
            <w:r w:rsidR="00E05C17">
              <w:rPr>
                <w:rFonts w:ascii="Calibri" w:eastAsia="Times New Roman" w:hAnsi="Calibri" w:cs="Calibri"/>
                <w:kern w:val="0"/>
                <w14:ligatures w14:val="none"/>
              </w:rPr>
              <w:t>more than 40% of</w:t>
            </w:r>
            <w:r>
              <w:rPr>
                <w:rFonts w:ascii="Calibri" w:eastAsia="Times New Roman" w:hAnsi="Calibri" w:cs="Calibri"/>
                <w:kern w:val="0"/>
                <w14:ligatures w14:val="none"/>
              </w:rPr>
              <w:t xml:space="preserve"> the variance in state electricity rates.</w:t>
            </w:r>
          </w:p>
          <w:p w14:paraId="1940F4EE" w14:textId="77777777" w:rsidR="00B53CA4" w:rsidRDefault="00B53CA4" w:rsidP="00082E66">
            <w:pPr>
              <w:rPr>
                <w:rFonts w:ascii="Calibri" w:eastAsia="Times New Roman" w:hAnsi="Calibri" w:cs="Calibri"/>
                <w:kern w:val="0"/>
                <w14:ligatures w14:val="none"/>
              </w:rPr>
            </w:pPr>
          </w:p>
          <w:tbl>
            <w:tblPr>
              <w:tblW w:w="4822" w:type="dxa"/>
              <w:jc w:val="center"/>
              <w:tblLook w:val="04A0" w:firstRow="1" w:lastRow="0" w:firstColumn="1" w:lastColumn="0" w:noHBand="0" w:noVBand="1"/>
            </w:tblPr>
            <w:tblGrid>
              <w:gridCol w:w="3740"/>
              <w:gridCol w:w="1082"/>
            </w:tblGrid>
            <w:tr w:rsidR="00B53CA4" w:rsidRPr="00B53CA4" w14:paraId="7F5E62FD" w14:textId="77777777" w:rsidTr="005C6611">
              <w:trPr>
                <w:trHeight w:val="270"/>
                <w:jc w:val="center"/>
              </w:trPr>
              <w:tc>
                <w:tcPr>
                  <w:tcW w:w="3740" w:type="dxa"/>
                  <w:tcBorders>
                    <w:top w:val="nil"/>
                    <w:left w:val="nil"/>
                    <w:bottom w:val="nil"/>
                    <w:right w:val="nil"/>
                  </w:tcBorders>
                  <w:noWrap/>
                  <w:vAlign w:val="center"/>
                  <w:hideMark/>
                </w:tcPr>
                <w:p w14:paraId="5ECE0F54" w14:textId="77777777" w:rsidR="00B53CA4" w:rsidRPr="00B53CA4" w:rsidRDefault="00B53CA4" w:rsidP="00B53CA4">
                  <w:pPr>
                    <w:rPr>
                      <w:rFonts w:ascii="Calibri" w:eastAsia="Times New Roman" w:hAnsi="Calibri" w:cs="Calibri"/>
                      <w:b/>
                      <w:bCs/>
                      <w:color w:val="000000"/>
                      <w:kern w:val="0"/>
                      <w:sz w:val="20"/>
                      <w:szCs w:val="20"/>
                      <w14:ligatures w14:val="none"/>
                    </w:rPr>
                  </w:pPr>
                  <w:r w:rsidRPr="00B53CA4">
                    <w:rPr>
                      <w:rFonts w:ascii="Calibri" w:eastAsia="Times New Roman" w:hAnsi="Calibri" w:cs="Calibri"/>
                      <w:b/>
                      <w:bCs/>
                      <w:color w:val="000000"/>
                      <w:kern w:val="0"/>
                      <w:sz w:val="20"/>
                      <w:szCs w:val="20"/>
                      <w14:ligatures w14:val="none"/>
                    </w:rPr>
                    <w:t>Regression Results</w:t>
                  </w:r>
                </w:p>
              </w:tc>
              <w:tc>
                <w:tcPr>
                  <w:tcW w:w="1082" w:type="dxa"/>
                  <w:tcBorders>
                    <w:top w:val="nil"/>
                    <w:left w:val="nil"/>
                    <w:bottom w:val="nil"/>
                    <w:right w:val="nil"/>
                  </w:tcBorders>
                  <w:noWrap/>
                  <w:vAlign w:val="center"/>
                  <w:hideMark/>
                </w:tcPr>
                <w:p w14:paraId="222EFAF6" w14:textId="77777777" w:rsidR="00B53CA4" w:rsidRPr="00B53CA4" w:rsidRDefault="00B53CA4" w:rsidP="00B53CA4">
                  <w:pPr>
                    <w:rPr>
                      <w:rFonts w:ascii="Calibri" w:eastAsia="Times New Roman" w:hAnsi="Calibri" w:cs="Calibri"/>
                      <w:b/>
                      <w:bCs/>
                      <w:color w:val="000000"/>
                      <w:kern w:val="0"/>
                      <w:sz w:val="20"/>
                      <w:szCs w:val="20"/>
                      <w14:ligatures w14:val="none"/>
                    </w:rPr>
                  </w:pPr>
                </w:p>
              </w:tc>
            </w:tr>
            <w:tr w:rsidR="00B53CA4" w:rsidRPr="00B53CA4" w14:paraId="2EDE8A3A" w14:textId="77777777" w:rsidTr="005C6611">
              <w:trPr>
                <w:trHeight w:val="255"/>
                <w:jc w:val="center"/>
              </w:trPr>
              <w:tc>
                <w:tcPr>
                  <w:tcW w:w="3740" w:type="dxa"/>
                  <w:tcBorders>
                    <w:top w:val="nil"/>
                    <w:left w:val="nil"/>
                    <w:bottom w:val="nil"/>
                    <w:right w:val="nil"/>
                  </w:tcBorders>
                  <w:noWrap/>
                  <w:vAlign w:val="center"/>
                  <w:hideMark/>
                </w:tcPr>
                <w:p w14:paraId="630889E1" w14:textId="77777777" w:rsidR="00B53CA4" w:rsidRPr="00B53CA4" w:rsidRDefault="00B53CA4" w:rsidP="00B53CA4">
                  <w:pPr>
                    <w:rPr>
                      <w:rFonts w:ascii="Times New Roman" w:eastAsia="Times New Roman" w:hAnsi="Times New Roman" w:cs="Times New Roman"/>
                      <w:kern w:val="0"/>
                      <w:sz w:val="20"/>
                      <w:szCs w:val="20"/>
                      <w14:ligatures w14:val="none"/>
                    </w:rPr>
                  </w:pPr>
                </w:p>
              </w:tc>
              <w:tc>
                <w:tcPr>
                  <w:tcW w:w="1082" w:type="dxa"/>
                  <w:tcBorders>
                    <w:top w:val="nil"/>
                    <w:left w:val="nil"/>
                    <w:bottom w:val="nil"/>
                    <w:right w:val="nil"/>
                  </w:tcBorders>
                  <w:noWrap/>
                  <w:vAlign w:val="center"/>
                  <w:hideMark/>
                </w:tcPr>
                <w:p w14:paraId="599E743F" w14:textId="77777777" w:rsidR="00B53CA4" w:rsidRPr="00B53CA4" w:rsidRDefault="00B53CA4" w:rsidP="00B53CA4">
                  <w:pPr>
                    <w:rPr>
                      <w:rFonts w:ascii="Times New Roman" w:eastAsia="Times New Roman" w:hAnsi="Times New Roman" w:cs="Times New Roman"/>
                      <w:kern w:val="0"/>
                      <w:sz w:val="20"/>
                      <w:szCs w:val="20"/>
                      <w14:ligatures w14:val="none"/>
                    </w:rPr>
                  </w:pPr>
                </w:p>
              </w:tc>
            </w:tr>
            <w:tr w:rsidR="00B53CA4" w:rsidRPr="00B53CA4" w14:paraId="3CBBAFA6" w14:textId="77777777" w:rsidTr="005C6611">
              <w:trPr>
                <w:trHeight w:val="270"/>
                <w:jc w:val="center"/>
              </w:trPr>
              <w:tc>
                <w:tcPr>
                  <w:tcW w:w="3740" w:type="dxa"/>
                  <w:tcBorders>
                    <w:top w:val="nil"/>
                    <w:left w:val="nil"/>
                    <w:bottom w:val="single" w:sz="8" w:space="0" w:color="auto"/>
                    <w:right w:val="nil"/>
                  </w:tcBorders>
                  <w:noWrap/>
                  <w:vAlign w:val="center"/>
                  <w:hideMark/>
                </w:tcPr>
                <w:p w14:paraId="2A6997C8" w14:textId="77777777" w:rsidR="00B53CA4" w:rsidRPr="00B53CA4" w:rsidRDefault="00B53CA4" w:rsidP="00B53CA4">
                  <w:pPr>
                    <w:rPr>
                      <w:rFonts w:ascii="Calibri" w:eastAsia="Times New Roman" w:hAnsi="Calibri" w:cs="Calibri"/>
                      <w:i/>
                      <w:iCs/>
                      <w:color w:val="000000"/>
                      <w:kern w:val="0"/>
                      <w:sz w:val="20"/>
                      <w:szCs w:val="20"/>
                      <w14:ligatures w14:val="none"/>
                    </w:rPr>
                  </w:pPr>
                  <w:r w:rsidRPr="00B53CA4">
                    <w:rPr>
                      <w:rFonts w:ascii="Calibri" w:eastAsia="Times New Roman" w:hAnsi="Calibri" w:cs="Calibri"/>
                      <w:i/>
                      <w:iCs/>
                      <w:color w:val="000000"/>
                      <w:kern w:val="0"/>
                      <w:sz w:val="20"/>
                      <w:szCs w:val="20"/>
                      <w14:ligatures w14:val="none"/>
                    </w:rPr>
                    <w:t>Variable</w:t>
                  </w:r>
                </w:p>
              </w:tc>
              <w:tc>
                <w:tcPr>
                  <w:tcW w:w="1082" w:type="dxa"/>
                  <w:tcBorders>
                    <w:top w:val="nil"/>
                    <w:left w:val="nil"/>
                    <w:bottom w:val="single" w:sz="8" w:space="0" w:color="auto"/>
                    <w:right w:val="nil"/>
                  </w:tcBorders>
                  <w:noWrap/>
                  <w:vAlign w:val="center"/>
                  <w:hideMark/>
                </w:tcPr>
                <w:p w14:paraId="2FF09CCA" w14:textId="77777777" w:rsidR="00B53CA4" w:rsidRPr="00B53CA4" w:rsidRDefault="00B53CA4" w:rsidP="00B53CA4">
                  <w:pPr>
                    <w:rPr>
                      <w:rFonts w:ascii="Calibri" w:eastAsia="Times New Roman" w:hAnsi="Calibri" w:cs="Calibri"/>
                      <w:i/>
                      <w:iCs/>
                      <w:color w:val="000000"/>
                      <w:kern w:val="0"/>
                      <w:sz w:val="20"/>
                      <w:szCs w:val="20"/>
                      <w14:ligatures w14:val="none"/>
                    </w:rPr>
                  </w:pPr>
                  <w:r w:rsidRPr="00B53CA4">
                    <w:rPr>
                      <w:rFonts w:ascii="Calibri" w:eastAsia="Times New Roman" w:hAnsi="Calibri" w:cs="Calibri"/>
                      <w:i/>
                      <w:iCs/>
                      <w:color w:val="000000"/>
                      <w:kern w:val="0"/>
                      <w:sz w:val="20"/>
                      <w:szCs w:val="20"/>
                      <w14:ligatures w14:val="none"/>
                    </w:rPr>
                    <w:t>Coefficient</w:t>
                  </w:r>
                </w:p>
              </w:tc>
            </w:tr>
            <w:tr w:rsidR="00B53CA4" w:rsidRPr="00B53CA4" w14:paraId="2AE47119" w14:textId="77777777" w:rsidTr="005C6611">
              <w:trPr>
                <w:trHeight w:val="37"/>
                <w:jc w:val="center"/>
              </w:trPr>
              <w:tc>
                <w:tcPr>
                  <w:tcW w:w="3740" w:type="dxa"/>
                  <w:tcBorders>
                    <w:top w:val="nil"/>
                    <w:left w:val="nil"/>
                    <w:bottom w:val="nil"/>
                    <w:right w:val="nil"/>
                  </w:tcBorders>
                  <w:noWrap/>
                  <w:vAlign w:val="center"/>
                  <w:hideMark/>
                </w:tcPr>
                <w:p w14:paraId="074E4AF9" w14:textId="77777777" w:rsidR="00B53CA4" w:rsidRPr="00B53CA4" w:rsidRDefault="00B53CA4" w:rsidP="00B53CA4">
                  <w:pPr>
                    <w:rPr>
                      <w:rFonts w:ascii="Calibri" w:eastAsia="Times New Roman" w:hAnsi="Calibri" w:cs="Calibri"/>
                      <w:i/>
                      <w:iCs/>
                      <w:color w:val="000000"/>
                      <w:kern w:val="0"/>
                      <w:sz w:val="20"/>
                      <w:szCs w:val="20"/>
                      <w14:ligatures w14:val="none"/>
                    </w:rPr>
                  </w:pPr>
                </w:p>
              </w:tc>
              <w:tc>
                <w:tcPr>
                  <w:tcW w:w="1082" w:type="dxa"/>
                  <w:tcBorders>
                    <w:top w:val="nil"/>
                    <w:left w:val="nil"/>
                    <w:bottom w:val="nil"/>
                    <w:right w:val="nil"/>
                  </w:tcBorders>
                  <w:noWrap/>
                  <w:vAlign w:val="center"/>
                  <w:hideMark/>
                </w:tcPr>
                <w:p w14:paraId="619EF9DD" w14:textId="77777777" w:rsidR="00B53CA4" w:rsidRPr="00B53CA4" w:rsidRDefault="00B53CA4" w:rsidP="00B53CA4">
                  <w:pPr>
                    <w:rPr>
                      <w:rFonts w:ascii="Times New Roman" w:eastAsia="Times New Roman" w:hAnsi="Times New Roman" w:cs="Times New Roman"/>
                      <w:kern w:val="0"/>
                      <w:sz w:val="20"/>
                      <w:szCs w:val="20"/>
                      <w14:ligatures w14:val="none"/>
                    </w:rPr>
                  </w:pPr>
                </w:p>
              </w:tc>
            </w:tr>
            <w:tr w:rsidR="00B53CA4" w:rsidRPr="00B53CA4" w14:paraId="4210F7F9" w14:textId="77777777" w:rsidTr="005C6611">
              <w:trPr>
                <w:trHeight w:val="255"/>
                <w:jc w:val="center"/>
              </w:trPr>
              <w:tc>
                <w:tcPr>
                  <w:tcW w:w="3740" w:type="dxa"/>
                  <w:tcBorders>
                    <w:top w:val="nil"/>
                    <w:left w:val="nil"/>
                    <w:bottom w:val="nil"/>
                    <w:right w:val="nil"/>
                  </w:tcBorders>
                  <w:noWrap/>
                  <w:vAlign w:val="center"/>
                  <w:hideMark/>
                </w:tcPr>
                <w:p w14:paraId="18D38F72" w14:textId="77777777" w:rsidR="00B53CA4" w:rsidRPr="00B53CA4" w:rsidRDefault="00B53CA4" w:rsidP="00B53CA4">
                  <w:pPr>
                    <w:rPr>
                      <w:rFonts w:ascii="Calibri" w:eastAsia="Times New Roman" w:hAnsi="Calibri" w:cs="Calibri"/>
                      <w:color w:val="000000"/>
                      <w:kern w:val="0"/>
                      <w:sz w:val="20"/>
                      <w:szCs w:val="20"/>
                      <w14:ligatures w14:val="none"/>
                    </w:rPr>
                  </w:pPr>
                  <w:r w:rsidRPr="00B53CA4">
                    <w:rPr>
                      <w:rFonts w:ascii="Calibri" w:eastAsia="Times New Roman" w:hAnsi="Calibri" w:cs="Calibri"/>
                      <w:color w:val="000000"/>
                      <w:kern w:val="0"/>
                      <w:sz w:val="20"/>
                      <w:szCs w:val="20"/>
                      <w14:ligatures w14:val="none"/>
                    </w:rPr>
                    <w:t>Dependent:  Average Residential Rate</w:t>
                  </w:r>
                </w:p>
              </w:tc>
              <w:tc>
                <w:tcPr>
                  <w:tcW w:w="1082" w:type="dxa"/>
                  <w:tcBorders>
                    <w:top w:val="nil"/>
                    <w:left w:val="nil"/>
                    <w:bottom w:val="nil"/>
                    <w:right w:val="nil"/>
                  </w:tcBorders>
                  <w:noWrap/>
                  <w:vAlign w:val="center"/>
                  <w:hideMark/>
                </w:tcPr>
                <w:p w14:paraId="0732C735" w14:textId="77777777" w:rsidR="00B53CA4" w:rsidRPr="00B53CA4" w:rsidRDefault="00B53CA4" w:rsidP="00B53CA4">
                  <w:pPr>
                    <w:rPr>
                      <w:rFonts w:ascii="Calibri" w:eastAsia="Times New Roman" w:hAnsi="Calibri" w:cs="Calibri"/>
                      <w:color w:val="000000"/>
                      <w:kern w:val="0"/>
                      <w:sz w:val="20"/>
                      <w:szCs w:val="20"/>
                      <w14:ligatures w14:val="none"/>
                    </w:rPr>
                  </w:pPr>
                </w:p>
              </w:tc>
            </w:tr>
            <w:tr w:rsidR="00B53CA4" w:rsidRPr="00B53CA4" w14:paraId="21B7788F" w14:textId="77777777" w:rsidTr="005C6611">
              <w:trPr>
                <w:trHeight w:val="57"/>
                <w:jc w:val="center"/>
              </w:trPr>
              <w:tc>
                <w:tcPr>
                  <w:tcW w:w="3740" w:type="dxa"/>
                  <w:tcBorders>
                    <w:top w:val="nil"/>
                    <w:left w:val="nil"/>
                    <w:bottom w:val="nil"/>
                    <w:right w:val="nil"/>
                  </w:tcBorders>
                  <w:noWrap/>
                  <w:vAlign w:val="center"/>
                  <w:hideMark/>
                </w:tcPr>
                <w:p w14:paraId="2005DC62" w14:textId="77777777" w:rsidR="00B53CA4" w:rsidRPr="00B53CA4" w:rsidRDefault="00B53CA4" w:rsidP="00B53CA4">
                  <w:pPr>
                    <w:rPr>
                      <w:rFonts w:ascii="Times New Roman" w:eastAsia="Times New Roman" w:hAnsi="Times New Roman" w:cs="Times New Roman"/>
                      <w:kern w:val="0"/>
                      <w:sz w:val="20"/>
                      <w:szCs w:val="20"/>
                      <w14:ligatures w14:val="none"/>
                    </w:rPr>
                  </w:pPr>
                </w:p>
              </w:tc>
              <w:tc>
                <w:tcPr>
                  <w:tcW w:w="1082" w:type="dxa"/>
                  <w:tcBorders>
                    <w:top w:val="nil"/>
                    <w:left w:val="nil"/>
                    <w:bottom w:val="nil"/>
                    <w:right w:val="nil"/>
                  </w:tcBorders>
                  <w:noWrap/>
                  <w:vAlign w:val="center"/>
                  <w:hideMark/>
                </w:tcPr>
                <w:p w14:paraId="1BE455AC" w14:textId="77777777" w:rsidR="00B53CA4" w:rsidRPr="00B53CA4" w:rsidRDefault="00B53CA4" w:rsidP="00B53CA4">
                  <w:pPr>
                    <w:rPr>
                      <w:rFonts w:ascii="Times New Roman" w:eastAsia="Times New Roman" w:hAnsi="Times New Roman" w:cs="Times New Roman"/>
                      <w:kern w:val="0"/>
                      <w:sz w:val="20"/>
                      <w:szCs w:val="20"/>
                      <w14:ligatures w14:val="none"/>
                    </w:rPr>
                  </w:pPr>
                </w:p>
              </w:tc>
            </w:tr>
            <w:tr w:rsidR="005C6611" w:rsidRPr="00B53CA4" w14:paraId="5553F27F" w14:textId="77777777" w:rsidTr="005C6611">
              <w:trPr>
                <w:trHeight w:val="270"/>
                <w:jc w:val="center"/>
              </w:trPr>
              <w:tc>
                <w:tcPr>
                  <w:tcW w:w="3740" w:type="dxa"/>
                  <w:tcBorders>
                    <w:top w:val="nil"/>
                    <w:left w:val="nil"/>
                    <w:bottom w:val="nil"/>
                    <w:right w:val="nil"/>
                  </w:tcBorders>
                  <w:noWrap/>
                  <w:vAlign w:val="center"/>
                  <w:hideMark/>
                </w:tcPr>
                <w:p w14:paraId="1698CDF5" w14:textId="77777777" w:rsidR="005C6611" w:rsidRPr="00B53CA4" w:rsidRDefault="005C6611" w:rsidP="005C6611">
                  <w:pPr>
                    <w:rPr>
                      <w:rFonts w:ascii="Calibri" w:eastAsia="Times New Roman" w:hAnsi="Calibri" w:cs="Calibri"/>
                      <w:color w:val="000000"/>
                      <w:kern w:val="0"/>
                      <w:sz w:val="20"/>
                      <w:szCs w:val="20"/>
                      <w14:ligatures w14:val="none"/>
                    </w:rPr>
                  </w:pPr>
                  <w:r w:rsidRPr="00B53CA4">
                    <w:rPr>
                      <w:rFonts w:ascii="Calibri" w:eastAsia="Times New Roman" w:hAnsi="Calibri" w:cs="Calibri"/>
                      <w:color w:val="000000"/>
                      <w:kern w:val="0"/>
                      <w:sz w:val="20"/>
                      <w:szCs w:val="20"/>
                      <w14:ligatures w14:val="none"/>
                    </w:rPr>
                    <w:t>Intercept</w:t>
                  </w:r>
                </w:p>
              </w:tc>
              <w:tc>
                <w:tcPr>
                  <w:tcW w:w="1082" w:type="dxa"/>
                  <w:tcBorders>
                    <w:top w:val="nil"/>
                    <w:left w:val="nil"/>
                    <w:bottom w:val="nil"/>
                    <w:right w:val="nil"/>
                  </w:tcBorders>
                  <w:noWrap/>
                  <w:vAlign w:val="center"/>
                  <w:hideMark/>
                </w:tcPr>
                <w:p w14:paraId="7F21F8D5" w14:textId="6E641138" w:rsidR="005C6611" w:rsidRPr="00B53CA4" w:rsidRDefault="005C6611" w:rsidP="005C6611">
                  <w:pPr>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16.44*</w:t>
                  </w:r>
                </w:p>
              </w:tc>
            </w:tr>
            <w:tr w:rsidR="005C6611" w:rsidRPr="00B53CA4" w14:paraId="11BBB12C" w14:textId="77777777" w:rsidTr="005C6611">
              <w:trPr>
                <w:trHeight w:val="255"/>
                <w:jc w:val="center"/>
              </w:trPr>
              <w:tc>
                <w:tcPr>
                  <w:tcW w:w="3740" w:type="dxa"/>
                  <w:tcBorders>
                    <w:top w:val="nil"/>
                    <w:left w:val="nil"/>
                    <w:bottom w:val="nil"/>
                    <w:right w:val="nil"/>
                  </w:tcBorders>
                  <w:noWrap/>
                  <w:vAlign w:val="center"/>
                  <w:hideMark/>
                </w:tcPr>
                <w:p w14:paraId="108ADA5D" w14:textId="77777777" w:rsidR="005C6611" w:rsidRPr="00B53CA4" w:rsidRDefault="005C6611" w:rsidP="005C6611">
                  <w:pPr>
                    <w:jc w:val="right"/>
                    <w:rPr>
                      <w:rFonts w:ascii="Calibri" w:eastAsia="Times New Roman" w:hAnsi="Calibri" w:cs="Calibri"/>
                      <w:color w:val="000000"/>
                      <w:kern w:val="0"/>
                      <w:sz w:val="20"/>
                      <w:szCs w:val="20"/>
                      <w14:ligatures w14:val="none"/>
                    </w:rPr>
                  </w:pPr>
                </w:p>
              </w:tc>
              <w:tc>
                <w:tcPr>
                  <w:tcW w:w="1082" w:type="dxa"/>
                  <w:tcBorders>
                    <w:top w:val="nil"/>
                    <w:left w:val="nil"/>
                    <w:bottom w:val="nil"/>
                    <w:right w:val="nil"/>
                  </w:tcBorders>
                  <w:noWrap/>
                  <w:vAlign w:val="center"/>
                  <w:hideMark/>
                </w:tcPr>
                <w:p w14:paraId="39E7EEAA" w14:textId="36358EEC" w:rsidR="005C6611" w:rsidRPr="005C6611" w:rsidRDefault="005C6611" w:rsidP="005C6611">
                  <w:pPr>
                    <w:jc w:val="right"/>
                    <w:rPr>
                      <w:rFonts w:ascii="Calibri" w:eastAsia="Times New Roman" w:hAnsi="Calibri" w:cs="Calibri"/>
                      <w:i/>
                      <w:iCs/>
                      <w:color w:val="000000"/>
                      <w:kern w:val="0"/>
                      <w:sz w:val="16"/>
                      <w:szCs w:val="16"/>
                      <w14:ligatures w14:val="none"/>
                    </w:rPr>
                  </w:pPr>
                  <w:r w:rsidRPr="005C6611">
                    <w:rPr>
                      <w:rFonts w:ascii="Calibri" w:hAnsi="Calibri" w:cs="Calibri"/>
                      <w:i/>
                      <w:iCs/>
                      <w:color w:val="000000"/>
                      <w:sz w:val="16"/>
                      <w:szCs w:val="16"/>
                    </w:rPr>
                    <w:t>(0.95)</w:t>
                  </w:r>
                </w:p>
              </w:tc>
            </w:tr>
            <w:tr w:rsidR="005C6611" w:rsidRPr="00B53CA4" w14:paraId="0644917E" w14:textId="77777777" w:rsidTr="005C6611">
              <w:trPr>
                <w:trHeight w:val="270"/>
                <w:jc w:val="center"/>
              </w:trPr>
              <w:tc>
                <w:tcPr>
                  <w:tcW w:w="3740" w:type="dxa"/>
                  <w:tcBorders>
                    <w:top w:val="nil"/>
                    <w:left w:val="nil"/>
                    <w:bottom w:val="nil"/>
                    <w:right w:val="nil"/>
                  </w:tcBorders>
                  <w:noWrap/>
                  <w:vAlign w:val="center"/>
                  <w:hideMark/>
                </w:tcPr>
                <w:p w14:paraId="6888AE69" w14:textId="77777777" w:rsidR="005C6611" w:rsidRPr="00B53CA4" w:rsidRDefault="005C6611" w:rsidP="005C6611">
                  <w:pPr>
                    <w:rPr>
                      <w:rFonts w:ascii="Calibri" w:eastAsia="Times New Roman" w:hAnsi="Calibri" w:cs="Calibri"/>
                      <w:color w:val="000000"/>
                      <w:kern w:val="0"/>
                      <w:sz w:val="20"/>
                      <w:szCs w:val="20"/>
                      <w14:ligatures w14:val="none"/>
                    </w:rPr>
                  </w:pPr>
                  <w:r w:rsidRPr="00B53CA4">
                    <w:rPr>
                      <w:rFonts w:ascii="Calibri" w:eastAsia="Times New Roman" w:hAnsi="Calibri" w:cs="Calibri"/>
                      <w:color w:val="000000"/>
                      <w:kern w:val="0"/>
                      <w:sz w:val="20"/>
                      <w:szCs w:val="20"/>
                      <w14:ligatures w14:val="none"/>
                    </w:rPr>
                    <w:t>Data Center Share of State Consumption</w:t>
                  </w:r>
                </w:p>
              </w:tc>
              <w:tc>
                <w:tcPr>
                  <w:tcW w:w="1082" w:type="dxa"/>
                  <w:tcBorders>
                    <w:top w:val="nil"/>
                    <w:left w:val="nil"/>
                    <w:bottom w:val="nil"/>
                    <w:right w:val="nil"/>
                  </w:tcBorders>
                  <w:noWrap/>
                  <w:vAlign w:val="center"/>
                  <w:hideMark/>
                </w:tcPr>
                <w:p w14:paraId="5E97F2A5" w14:textId="0974DC7B" w:rsidR="005C6611" w:rsidRPr="00B53CA4" w:rsidRDefault="005C6611" w:rsidP="005C6611">
                  <w:pPr>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-30.66***</w:t>
                  </w:r>
                </w:p>
              </w:tc>
            </w:tr>
            <w:tr w:rsidR="005C6611" w:rsidRPr="005C6611" w14:paraId="670655D5" w14:textId="77777777" w:rsidTr="005C6611">
              <w:trPr>
                <w:trHeight w:val="255"/>
                <w:jc w:val="center"/>
              </w:trPr>
              <w:tc>
                <w:tcPr>
                  <w:tcW w:w="3740" w:type="dxa"/>
                  <w:tcBorders>
                    <w:top w:val="nil"/>
                    <w:left w:val="nil"/>
                    <w:bottom w:val="nil"/>
                    <w:right w:val="nil"/>
                  </w:tcBorders>
                  <w:noWrap/>
                  <w:vAlign w:val="center"/>
                  <w:hideMark/>
                </w:tcPr>
                <w:p w14:paraId="0F8E3152" w14:textId="77777777" w:rsidR="005C6611" w:rsidRPr="00B53CA4" w:rsidRDefault="005C6611" w:rsidP="005C6611">
                  <w:pPr>
                    <w:jc w:val="right"/>
                    <w:rPr>
                      <w:rFonts w:ascii="Calibri" w:eastAsia="Times New Roman" w:hAnsi="Calibri" w:cs="Calibri"/>
                      <w:color w:val="000000"/>
                      <w:kern w:val="0"/>
                      <w:sz w:val="20"/>
                      <w:szCs w:val="20"/>
                      <w14:ligatures w14:val="none"/>
                    </w:rPr>
                  </w:pPr>
                </w:p>
              </w:tc>
              <w:tc>
                <w:tcPr>
                  <w:tcW w:w="1082" w:type="dxa"/>
                  <w:tcBorders>
                    <w:top w:val="nil"/>
                    <w:left w:val="nil"/>
                    <w:bottom w:val="nil"/>
                    <w:right w:val="nil"/>
                  </w:tcBorders>
                  <w:noWrap/>
                  <w:vAlign w:val="center"/>
                  <w:hideMark/>
                </w:tcPr>
                <w:p w14:paraId="5D06C026" w14:textId="27264CF7" w:rsidR="005C6611" w:rsidRPr="005C6611" w:rsidRDefault="005C6611" w:rsidP="005C6611">
                  <w:pPr>
                    <w:jc w:val="right"/>
                    <w:rPr>
                      <w:rFonts w:ascii="Calibri" w:eastAsia="Times New Roman" w:hAnsi="Calibri" w:cs="Calibri"/>
                      <w:i/>
                      <w:iCs/>
                      <w:color w:val="000000"/>
                      <w:kern w:val="0"/>
                      <w:sz w:val="16"/>
                      <w:szCs w:val="16"/>
                      <w14:ligatures w14:val="none"/>
                    </w:rPr>
                  </w:pPr>
                  <w:r w:rsidRPr="005C6611">
                    <w:rPr>
                      <w:rFonts w:ascii="Calibri" w:hAnsi="Calibri" w:cs="Calibri"/>
                      <w:i/>
                      <w:iCs/>
                      <w:color w:val="000000"/>
                      <w:sz w:val="16"/>
                      <w:szCs w:val="16"/>
                    </w:rPr>
                    <w:t>(14.25)</w:t>
                  </w:r>
                </w:p>
              </w:tc>
            </w:tr>
            <w:tr w:rsidR="005C6611" w:rsidRPr="00B53CA4" w14:paraId="19EF397A" w14:textId="77777777" w:rsidTr="005C6611">
              <w:trPr>
                <w:trHeight w:val="255"/>
                <w:jc w:val="center"/>
              </w:trPr>
              <w:tc>
                <w:tcPr>
                  <w:tcW w:w="3740" w:type="dxa"/>
                  <w:tcBorders>
                    <w:top w:val="nil"/>
                    <w:left w:val="nil"/>
                    <w:bottom w:val="nil"/>
                    <w:right w:val="nil"/>
                  </w:tcBorders>
                  <w:noWrap/>
                  <w:vAlign w:val="center"/>
                  <w:hideMark/>
                </w:tcPr>
                <w:p w14:paraId="7917B906" w14:textId="77777777" w:rsidR="005C6611" w:rsidRPr="00B53CA4" w:rsidRDefault="005C6611" w:rsidP="005C6611">
                  <w:pPr>
                    <w:rPr>
                      <w:rFonts w:ascii="Calibri" w:eastAsia="Times New Roman" w:hAnsi="Calibri" w:cs="Calibri"/>
                      <w:color w:val="000000"/>
                      <w:kern w:val="0"/>
                      <w:sz w:val="20"/>
                      <w:szCs w:val="20"/>
                      <w14:ligatures w14:val="none"/>
                    </w:rPr>
                  </w:pPr>
                  <w:r w:rsidRPr="00B53CA4">
                    <w:rPr>
                      <w:rFonts w:ascii="Calibri" w:eastAsia="Times New Roman" w:hAnsi="Calibri" w:cs="Calibri"/>
                      <w:color w:val="000000"/>
                      <w:kern w:val="0"/>
                      <w:sz w:val="20"/>
                      <w:szCs w:val="20"/>
                      <w14:ligatures w14:val="none"/>
                    </w:rPr>
                    <w:t>RPS 50% +</w:t>
                  </w:r>
                </w:p>
              </w:tc>
              <w:tc>
                <w:tcPr>
                  <w:tcW w:w="1082" w:type="dxa"/>
                  <w:tcBorders>
                    <w:top w:val="nil"/>
                    <w:left w:val="nil"/>
                    <w:bottom w:val="nil"/>
                    <w:right w:val="nil"/>
                  </w:tcBorders>
                  <w:noWrap/>
                  <w:vAlign w:val="center"/>
                  <w:hideMark/>
                </w:tcPr>
                <w:p w14:paraId="1E22038F" w14:textId="633B144D" w:rsidR="005C6611" w:rsidRPr="00B53CA4" w:rsidRDefault="005C6611" w:rsidP="005C6611">
                  <w:pPr>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6.17*</w:t>
                  </w:r>
                </w:p>
              </w:tc>
            </w:tr>
            <w:tr w:rsidR="005C6611" w:rsidRPr="00B53CA4" w14:paraId="07F1E092" w14:textId="77777777" w:rsidTr="005C6611">
              <w:trPr>
                <w:trHeight w:val="255"/>
                <w:jc w:val="center"/>
              </w:trPr>
              <w:tc>
                <w:tcPr>
                  <w:tcW w:w="3740" w:type="dxa"/>
                  <w:tcBorders>
                    <w:top w:val="nil"/>
                    <w:left w:val="nil"/>
                    <w:bottom w:val="nil"/>
                    <w:right w:val="nil"/>
                  </w:tcBorders>
                  <w:noWrap/>
                  <w:vAlign w:val="center"/>
                  <w:hideMark/>
                </w:tcPr>
                <w:p w14:paraId="097CBD76" w14:textId="77777777" w:rsidR="005C6611" w:rsidRPr="00B53CA4" w:rsidRDefault="005C6611" w:rsidP="005C6611">
                  <w:pPr>
                    <w:jc w:val="right"/>
                    <w:rPr>
                      <w:rFonts w:ascii="Calibri" w:eastAsia="Times New Roman" w:hAnsi="Calibri" w:cs="Calibri"/>
                      <w:color w:val="000000"/>
                      <w:kern w:val="0"/>
                      <w:sz w:val="20"/>
                      <w:szCs w:val="20"/>
                      <w14:ligatures w14:val="none"/>
                    </w:rPr>
                  </w:pPr>
                </w:p>
              </w:tc>
              <w:tc>
                <w:tcPr>
                  <w:tcW w:w="1082" w:type="dxa"/>
                  <w:tcBorders>
                    <w:top w:val="nil"/>
                    <w:left w:val="nil"/>
                    <w:bottom w:val="nil"/>
                    <w:right w:val="nil"/>
                  </w:tcBorders>
                  <w:noWrap/>
                  <w:vAlign w:val="center"/>
                  <w:hideMark/>
                </w:tcPr>
                <w:p w14:paraId="117D1DEE" w14:textId="04870151" w:rsidR="005C6611" w:rsidRPr="005C6611" w:rsidRDefault="005C6611" w:rsidP="005C6611">
                  <w:pPr>
                    <w:jc w:val="right"/>
                    <w:rPr>
                      <w:rFonts w:ascii="Calibri" w:eastAsia="Times New Roman" w:hAnsi="Calibri" w:cs="Calibri"/>
                      <w:i/>
                      <w:iCs/>
                      <w:color w:val="000000"/>
                      <w:kern w:val="0"/>
                      <w:sz w:val="16"/>
                      <w:szCs w:val="16"/>
                      <w14:ligatures w14:val="none"/>
                    </w:rPr>
                  </w:pPr>
                  <w:r w:rsidRPr="005C6611">
                    <w:rPr>
                      <w:rFonts w:ascii="Calibri" w:hAnsi="Calibri" w:cs="Calibri"/>
                      <w:i/>
                      <w:iCs/>
                      <w:color w:val="000000"/>
                      <w:sz w:val="16"/>
                      <w:szCs w:val="16"/>
                    </w:rPr>
                    <w:t>(1.63)</w:t>
                  </w:r>
                </w:p>
              </w:tc>
            </w:tr>
            <w:tr w:rsidR="005C6611" w:rsidRPr="00B53CA4" w14:paraId="1F8F4A78" w14:textId="77777777" w:rsidTr="005C6611">
              <w:trPr>
                <w:trHeight w:val="255"/>
                <w:jc w:val="center"/>
              </w:trPr>
              <w:tc>
                <w:tcPr>
                  <w:tcW w:w="3740" w:type="dxa"/>
                  <w:tcBorders>
                    <w:top w:val="nil"/>
                    <w:left w:val="nil"/>
                    <w:bottom w:val="nil"/>
                    <w:right w:val="nil"/>
                  </w:tcBorders>
                  <w:noWrap/>
                  <w:vAlign w:val="center"/>
                </w:tcPr>
                <w:p w14:paraId="6218AA8F" w14:textId="3D73EC48" w:rsidR="005C6611" w:rsidRPr="00B53CA4" w:rsidRDefault="005C6611" w:rsidP="005C6611">
                  <w:pPr>
                    <w:rPr>
                      <w:rFonts w:ascii="Calibri" w:eastAsia="Times New Roman" w:hAnsi="Calibri" w:cs="Calibri"/>
                      <w:color w:val="000000"/>
                      <w:kern w:val="0"/>
                      <w:sz w:val="20"/>
                      <w:szCs w:val="20"/>
                      <w14:ligatures w14:val="none"/>
                    </w:rPr>
                  </w:pPr>
                  <w:r w:rsidRPr="005C6611">
                    <w:rPr>
                      <w:rFonts w:ascii="Calibri" w:eastAsia="Times New Roman" w:hAnsi="Calibri" w:cs="Calibri"/>
                      <w:color w:val="000000"/>
                      <w:kern w:val="0"/>
                      <w:sz w:val="20"/>
                      <w:szCs w:val="20"/>
                      <w14:ligatures w14:val="none"/>
                    </w:rPr>
                    <w:t>RPS 100%</w:t>
                  </w:r>
                </w:p>
              </w:tc>
              <w:tc>
                <w:tcPr>
                  <w:tcW w:w="1082" w:type="dxa"/>
                  <w:tcBorders>
                    <w:top w:val="nil"/>
                    <w:left w:val="nil"/>
                    <w:bottom w:val="nil"/>
                    <w:right w:val="nil"/>
                  </w:tcBorders>
                  <w:noWrap/>
                  <w:vAlign w:val="center"/>
                </w:tcPr>
                <w:p w14:paraId="675413FA" w14:textId="6C86C1F6" w:rsidR="005C6611" w:rsidRPr="004D3167" w:rsidRDefault="005C6611" w:rsidP="005C6611">
                  <w:pPr>
                    <w:jc w:val="right"/>
                    <w:rPr>
                      <w:rFonts w:ascii="Calibri" w:eastAsia="Times New Roman" w:hAnsi="Calibri" w:cs="Calibri"/>
                      <w:i/>
                      <w:iCs/>
                      <w:color w:val="000000"/>
                      <w:kern w:val="0"/>
                      <w:sz w:val="16"/>
                      <w:szCs w:val="16"/>
                      <w14:ligatures w14:val="none"/>
                    </w:rPr>
                  </w:pPr>
                  <w:r>
                    <w:rPr>
                      <w:rFonts w:ascii="Calibri" w:hAnsi="Calibri" w:cs="Calibri"/>
                      <w:color w:val="000000"/>
                      <w:sz w:val="20"/>
                      <w:szCs w:val="20"/>
                    </w:rPr>
                    <w:t>5.94*</w:t>
                  </w:r>
                </w:p>
              </w:tc>
            </w:tr>
            <w:tr w:rsidR="005C6611" w:rsidRPr="00B53CA4" w14:paraId="7BF431FA" w14:textId="77777777" w:rsidTr="00FC452D">
              <w:trPr>
                <w:trHeight w:val="255"/>
                <w:jc w:val="center"/>
              </w:trPr>
              <w:tc>
                <w:tcPr>
                  <w:tcW w:w="3740" w:type="dxa"/>
                  <w:tcBorders>
                    <w:top w:val="nil"/>
                    <w:left w:val="nil"/>
                    <w:bottom w:val="nil"/>
                    <w:right w:val="nil"/>
                  </w:tcBorders>
                  <w:noWrap/>
                  <w:vAlign w:val="center"/>
                </w:tcPr>
                <w:p w14:paraId="5F92FCCB" w14:textId="73AC8B96" w:rsidR="005C6611" w:rsidRPr="00B53CA4" w:rsidRDefault="005C6611" w:rsidP="005C6611">
                  <w:pPr>
                    <w:rPr>
                      <w:rFonts w:ascii="Calibri" w:eastAsia="Times New Roman" w:hAnsi="Calibri" w:cs="Calibri"/>
                      <w:color w:val="000000"/>
                      <w:kern w:val="0"/>
                      <w:sz w:val="20"/>
                      <w:szCs w:val="20"/>
                      <w14:ligatures w14:val="none"/>
                    </w:rPr>
                  </w:pPr>
                </w:p>
              </w:tc>
              <w:tc>
                <w:tcPr>
                  <w:tcW w:w="1082" w:type="dxa"/>
                  <w:tcBorders>
                    <w:top w:val="nil"/>
                    <w:left w:val="nil"/>
                    <w:bottom w:val="nil"/>
                    <w:right w:val="nil"/>
                  </w:tcBorders>
                  <w:noWrap/>
                  <w:vAlign w:val="bottom"/>
                </w:tcPr>
                <w:p w14:paraId="24F8E84A" w14:textId="1D036797" w:rsidR="005C6611" w:rsidRPr="005C6611" w:rsidRDefault="005C6611" w:rsidP="005C6611">
                  <w:pPr>
                    <w:jc w:val="right"/>
                    <w:rPr>
                      <w:rFonts w:ascii="Calibri" w:eastAsia="Times New Roman" w:hAnsi="Calibri" w:cs="Calibri"/>
                      <w:i/>
                      <w:iCs/>
                      <w:color w:val="000000"/>
                      <w:kern w:val="0"/>
                      <w:sz w:val="16"/>
                      <w:szCs w:val="16"/>
                      <w14:ligatures w14:val="none"/>
                    </w:rPr>
                  </w:pPr>
                  <w:r w:rsidRPr="005C6611">
                    <w:rPr>
                      <w:rFonts w:ascii="Calibri" w:hAnsi="Calibri" w:cs="Calibri"/>
                      <w:i/>
                      <w:iCs/>
                      <w:color w:val="000000"/>
                      <w:sz w:val="16"/>
                      <w:szCs w:val="16"/>
                    </w:rPr>
                    <w:t>(2.88)</w:t>
                  </w:r>
                </w:p>
              </w:tc>
            </w:tr>
            <w:tr w:rsidR="005C6611" w:rsidRPr="00B53CA4" w14:paraId="79CB9D0D" w14:textId="77777777" w:rsidTr="00FC452D">
              <w:trPr>
                <w:trHeight w:val="171"/>
                <w:jc w:val="center"/>
              </w:trPr>
              <w:tc>
                <w:tcPr>
                  <w:tcW w:w="3740" w:type="dxa"/>
                  <w:tcBorders>
                    <w:top w:val="nil"/>
                    <w:left w:val="nil"/>
                    <w:bottom w:val="nil"/>
                    <w:right w:val="nil"/>
                  </w:tcBorders>
                  <w:noWrap/>
                  <w:vAlign w:val="center"/>
                  <w:hideMark/>
                </w:tcPr>
                <w:p w14:paraId="654101DA" w14:textId="77777777" w:rsidR="005C6611" w:rsidRPr="00B53CA4" w:rsidRDefault="005C6611" w:rsidP="005C6611">
                  <w:pPr>
                    <w:jc w:val="right"/>
                    <w:rPr>
                      <w:rFonts w:ascii="Calibri" w:eastAsia="Times New Roman" w:hAnsi="Calibri" w:cs="Calibri"/>
                      <w:i/>
                      <w:iCs/>
                      <w:color w:val="000000"/>
                      <w:kern w:val="0"/>
                      <w:sz w:val="20"/>
                      <w:szCs w:val="20"/>
                      <w14:ligatures w14:val="none"/>
                    </w:rPr>
                  </w:pPr>
                </w:p>
              </w:tc>
              <w:tc>
                <w:tcPr>
                  <w:tcW w:w="1082" w:type="dxa"/>
                  <w:tcBorders>
                    <w:top w:val="nil"/>
                    <w:left w:val="nil"/>
                    <w:bottom w:val="nil"/>
                    <w:right w:val="nil"/>
                  </w:tcBorders>
                  <w:noWrap/>
                  <w:vAlign w:val="bottom"/>
                  <w:hideMark/>
                </w:tcPr>
                <w:p w14:paraId="09F0E69C" w14:textId="77777777" w:rsidR="005C6611" w:rsidRPr="00B53CA4" w:rsidRDefault="005C6611" w:rsidP="005C6611">
                  <w:pPr>
                    <w:rPr>
                      <w:rFonts w:ascii="Times New Roman" w:eastAsia="Times New Roman" w:hAnsi="Times New Roman" w:cs="Times New Roman"/>
                      <w:kern w:val="0"/>
                      <w:sz w:val="20"/>
                      <w:szCs w:val="20"/>
                      <w14:ligatures w14:val="none"/>
                    </w:rPr>
                  </w:pPr>
                </w:p>
              </w:tc>
            </w:tr>
            <w:tr w:rsidR="005C6611" w:rsidRPr="00B53CA4" w14:paraId="5AE7884B" w14:textId="77777777" w:rsidTr="005C6611">
              <w:trPr>
                <w:trHeight w:val="270"/>
                <w:jc w:val="center"/>
              </w:trPr>
              <w:tc>
                <w:tcPr>
                  <w:tcW w:w="3740" w:type="dxa"/>
                  <w:tcBorders>
                    <w:top w:val="nil"/>
                    <w:left w:val="nil"/>
                    <w:bottom w:val="nil"/>
                    <w:right w:val="nil"/>
                  </w:tcBorders>
                  <w:noWrap/>
                  <w:vAlign w:val="center"/>
                  <w:hideMark/>
                </w:tcPr>
                <w:p w14:paraId="1354E646" w14:textId="6854A257" w:rsidR="005C6611" w:rsidRPr="00B53CA4" w:rsidRDefault="005C6611" w:rsidP="005C6611">
                  <w:pPr>
                    <w:rPr>
                      <w:rFonts w:ascii="Calibri" w:eastAsia="Times New Roman" w:hAnsi="Calibri" w:cs="Calibri"/>
                      <w:color w:val="000000"/>
                      <w:kern w:val="0"/>
                      <w:sz w:val="20"/>
                      <w:szCs w:val="20"/>
                      <w14:ligatures w14:val="none"/>
                    </w:rPr>
                  </w:pPr>
                  <w:r w:rsidRPr="00B53CA4">
                    <w:rPr>
                      <w:rFonts w:ascii="Calibri" w:eastAsia="Times New Roman" w:hAnsi="Calibri" w:cs="Calibri"/>
                      <w:color w:val="000000"/>
                      <w:kern w:val="0"/>
                      <w:sz w:val="20"/>
                      <w:szCs w:val="20"/>
                      <w14:ligatures w14:val="none"/>
                    </w:rPr>
                    <w:t xml:space="preserve">Adj. </w:t>
                  </w:r>
                  <w:r w:rsidRPr="00B53CA4">
                    <w:rPr>
                      <w:rFonts w:ascii="Calibri" w:eastAsia="Times New Roman" w:hAnsi="Calibri" w:cs="Calibri"/>
                      <w:kern w:val="0"/>
                      <w:sz w:val="20"/>
                      <w:szCs w:val="20"/>
                      <w14:ligatures w14:val="none"/>
                    </w:rPr>
                    <w:t>R</w:t>
                  </w:r>
                  <w:r w:rsidRPr="00B53CA4">
                    <w:rPr>
                      <w:rFonts w:ascii="Calibri" w:eastAsia="Times New Roman" w:hAnsi="Calibri" w:cs="Calibri"/>
                      <w:kern w:val="0"/>
                      <w:sz w:val="20"/>
                      <w:szCs w:val="20"/>
                      <w:vertAlign w:val="superscript"/>
                      <w14:ligatures w14:val="none"/>
                    </w:rPr>
                    <w:t>2</w:t>
                  </w:r>
                </w:p>
              </w:tc>
              <w:tc>
                <w:tcPr>
                  <w:tcW w:w="1082" w:type="dxa"/>
                  <w:tcBorders>
                    <w:top w:val="nil"/>
                    <w:left w:val="nil"/>
                    <w:bottom w:val="nil"/>
                    <w:right w:val="nil"/>
                  </w:tcBorders>
                  <w:noWrap/>
                  <w:vAlign w:val="center"/>
                  <w:hideMark/>
                </w:tcPr>
                <w:p w14:paraId="3B12CA4C" w14:textId="5C260EA2" w:rsidR="005C6611" w:rsidRPr="00B53CA4" w:rsidRDefault="005C6611" w:rsidP="005C6611">
                  <w:pPr>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0.4149</w:t>
                  </w:r>
                </w:p>
              </w:tc>
            </w:tr>
            <w:tr w:rsidR="005C6611" w:rsidRPr="00B53CA4" w14:paraId="65F16230" w14:textId="77777777" w:rsidTr="005C6611">
              <w:trPr>
                <w:trHeight w:val="270"/>
                <w:jc w:val="center"/>
              </w:trPr>
              <w:tc>
                <w:tcPr>
                  <w:tcW w:w="3740" w:type="dxa"/>
                  <w:tcBorders>
                    <w:top w:val="nil"/>
                    <w:left w:val="nil"/>
                    <w:bottom w:val="single" w:sz="8" w:space="0" w:color="auto"/>
                    <w:right w:val="nil"/>
                  </w:tcBorders>
                  <w:noWrap/>
                  <w:vAlign w:val="center"/>
                  <w:hideMark/>
                </w:tcPr>
                <w:p w14:paraId="7F649868" w14:textId="77777777" w:rsidR="005C6611" w:rsidRPr="00B53CA4" w:rsidRDefault="005C6611" w:rsidP="005C6611">
                  <w:pPr>
                    <w:rPr>
                      <w:rFonts w:ascii="Calibri" w:eastAsia="Times New Roman" w:hAnsi="Calibri" w:cs="Calibri"/>
                      <w:color w:val="000000"/>
                      <w:kern w:val="0"/>
                      <w:sz w:val="20"/>
                      <w:szCs w:val="20"/>
                      <w14:ligatures w14:val="none"/>
                    </w:rPr>
                  </w:pPr>
                  <w:r w:rsidRPr="00B53CA4">
                    <w:rPr>
                      <w:rFonts w:ascii="Calibri" w:eastAsia="Times New Roman" w:hAnsi="Calibri" w:cs="Calibri"/>
                      <w:color w:val="000000"/>
                      <w:kern w:val="0"/>
                      <w:sz w:val="20"/>
                      <w:szCs w:val="20"/>
                      <w14:ligatures w14:val="none"/>
                    </w:rPr>
                    <w:t>Observations</w:t>
                  </w:r>
                </w:p>
              </w:tc>
              <w:tc>
                <w:tcPr>
                  <w:tcW w:w="1082" w:type="dxa"/>
                  <w:tcBorders>
                    <w:top w:val="nil"/>
                    <w:left w:val="nil"/>
                    <w:bottom w:val="single" w:sz="8" w:space="0" w:color="auto"/>
                    <w:right w:val="nil"/>
                  </w:tcBorders>
                  <w:noWrap/>
                  <w:vAlign w:val="center"/>
                  <w:hideMark/>
                </w:tcPr>
                <w:p w14:paraId="5137D4F3" w14:textId="5E83F701" w:rsidR="005C6611" w:rsidRPr="00B53CA4" w:rsidRDefault="005C6611" w:rsidP="005C6611">
                  <w:pPr>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51</w:t>
                  </w:r>
                </w:p>
              </w:tc>
            </w:tr>
            <w:tr w:rsidR="00B53CA4" w:rsidRPr="00B53CA4" w14:paraId="28B21AD3" w14:textId="77777777" w:rsidTr="005C6611">
              <w:trPr>
                <w:trHeight w:val="61"/>
                <w:jc w:val="center"/>
              </w:trPr>
              <w:tc>
                <w:tcPr>
                  <w:tcW w:w="3740" w:type="dxa"/>
                  <w:tcBorders>
                    <w:top w:val="nil"/>
                    <w:left w:val="nil"/>
                    <w:bottom w:val="nil"/>
                    <w:right w:val="nil"/>
                  </w:tcBorders>
                  <w:noWrap/>
                  <w:vAlign w:val="center"/>
                  <w:hideMark/>
                </w:tcPr>
                <w:p w14:paraId="7850CB90" w14:textId="77777777" w:rsidR="00B53CA4" w:rsidRPr="00B53CA4" w:rsidRDefault="00B53CA4" w:rsidP="00B53CA4">
                  <w:pPr>
                    <w:jc w:val="right"/>
                    <w:rPr>
                      <w:rFonts w:ascii="Calibri" w:eastAsia="Times New Roman" w:hAnsi="Calibri" w:cs="Calibri"/>
                      <w:color w:val="000000"/>
                      <w:kern w:val="0"/>
                      <w:sz w:val="20"/>
                      <w:szCs w:val="20"/>
                      <w14:ligatures w14:val="none"/>
                    </w:rPr>
                  </w:pPr>
                </w:p>
              </w:tc>
              <w:tc>
                <w:tcPr>
                  <w:tcW w:w="1082" w:type="dxa"/>
                  <w:tcBorders>
                    <w:top w:val="nil"/>
                    <w:left w:val="nil"/>
                    <w:bottom w:val="nil"/>
                    <w:right w:val="nil"/>
                  </w:tcBorders>
                  <w:noWrap/>
                  <w:vAlign w:val="center"/>
                  <w:hideMark/>
                </w:tcPr>
                <w:p w14:paraId="4E9E4461" w14:textId="77777777" w:rsidR="00B53CA4" w:rsidRPr="00B53CA4" w:rsidRDefault="00B53CA4" w:rsidP="00B53CA4">
                  <w:pPr>
                    <w:rPr>
                      <w:rFonts w:ascii="Times New Roman" w:eastAsia="Times New Roman" w:hAnsi="Times New Roman" w:cs="Times New Roman"/>
                      <w:kern w:val="0"/>
                      <w:sz w:val="20"/>
                      <w:szCs w:val="20"/>
                      <w14:ligatures w14:val="none"/>
                    </w:rPr>
                  </w:pPr>
                </w:p>
              </w:tc>
            </w:tr>
            <w:tr w:rsidR="00B53CA4" w:rsidRPr="00B53CA4" w14:paraId="5E12F921" w14:textId="77777777" w:rsidTr="005C6611">
              <w:trPr>
                <w:trHeight w:val="255"/>
                <w:jc w:val="center"/>
              </w:trPr>
              <w:tc>
                <w:tcPr>
                  <w:tcW w:w="3740" w:type="dxa"/>
                  <w:tcBorders>
                    <w:top w:val="nil"/>
                    <w:left w:val="nil"/>
                    <w:bottom w:val="nil"/>
                    <w:right w:val="nil"/>
                  </w:tcBorders>
                  <w:noWrap/>
                  <w:vAlign w:val="center"/>
                  <w:hideMark/>
                </w:tcPr>
                <w:p w14:paraId="53BBE578" w14:textId="77777777" w:rsidR="00B53CA4" w:rsidRPr="00B53CA4" w:rsidRDefault="00B53CA4" w:rsidP="00B53CA4">
                  <w:pPr>
                    <w:rPr>
                      <w:rFonts w:ascii="Calibri" w:eastAsia="Times New Roman" w:hAnsi="Calibri" w:cs="Calibri"/>
                      <w:color w:val="000000"/>
                      <w:kern w:val="0"/>
                      <w:sz w:val="20"/>
                      <w:szCs w:val="20"/>
                      <w14:ligatures w14:val="none"/>
                    </w:rPr>
                  </w:pPr>
                  <w:r w:rsidRPr="00B53CA4">
                    <w:rPr>
                      <w:rFonts w:ascii="Calibri" w:eastAsia="Times New Roman" w:hAnsi="Calibri" w:cs="Calibri"/>
                      <w:color w:val="000000"/>
                      <w:kern w:val="0"/>
                      <w:sz w:val="20"/>
                      <w:szCs w:val="20"/>
                      <w14:ligatures w14:val="none"/>
                    </w:rPr>
                    <w:t>Dependent:  Average Total Rate</w:t>
                  </w:r>
                </w:p>
              </w:tc>
              <w:tc>
                <w:tcPr>
                  <w:tcW w:w="1082" w:type="dxa"/>
                  <w:tcBorders>
                    <w:top w:val="nil"/>
                    <w:left w:val="nil"/>
                    <w:bottom w:val="nil"/>
                    <w:right w:val="nil"/>
                  </w:tcBorders>
                  <w:noWrap/>
                  <w:vAlign w:val="center"/>
                  <w:hideMark/>
                </w:tcPr>
                <w:p w14:paraId="6A5F1E1C" w14:textId="77777777" w:rsidR="00B53CA4" w:rsidRPr="00B53CA4" w:rsidRDefault="00B53CA4" w:rsidP="00B53CA4">
                  <w:pPr>
                    <w:rPr>
                      <w:rFonts w:ascii="Calibri" w:eastAsia="Times New Roman" w:hAnsi="Calibri" w:cs="Calibri"/>
                      <w:color w:val="000000"/>
                      <w:kern w:val="0"/>
                      <w:sz w:val="20"/>
                      <w:szCs w:val="20"/>
                      <w14:ligatures w14:val="none"/>
                    </w:rPr>
                  </w:pPr>
                </w:p>
              </w:tc>
            </w:tr>
            <w:tr w:rsidR="00B53CA4" w:rsidRPr="00B53CA4" w14:paraId="4F6910EC" w14:textId="77777777" w:rsidTr="005C6611">
              <w:trPr>
                <w:trHeight w:val="57"/>
                <w:jc w:val="center"/>
              </w:trPr>
              <w:tc>
                <w:tcPr>
                  <w:tcW w:w="3740" w:type="dxa"/>
                  <w:tcBorders>
                    <w:top w:val="nil"/>
                    <w:left w:val="nil"/>
                    <w:bottom w:val="nil"/>
                    <w:right w:val="nil"/>
                  </w:tcBorders>
                  <w:noWrap/>
                  <w:vAlign w:val="center"/>
                  <w:hideMark/>
                </w:tcPr>
                <w:p w14:paraId="18EC427A" w14:textId="77777777" w:rsidR="00B53CA4" w:rsidRPr="00B53CA4" w:rsidRDefault="00B53CA4" w:rsidP="00B53CA4">
                  <w:pPr>
                    <w:rPr>
                      <w:rFonts w:ascii="Times New Roman" w:eastAsia="Times New Roman" w:hAnsi="Times New Roman" w:cs="Times New Roman"/>
                      <w:kern w:val="0"/>
                      <w:sz w:val="20"/>
                      <w:szCs w:val="20"/>
                      <w14:ligatures w14:val="none"/>
                    </w:rPr>
                  </w:pPr>
                </w:p>
              </w:tc>
              <w:tc>
                <w:tcPr>
                  <w:tcW w:w="1082" w:type="dxa"/>
                  <w:tcBorders>
                    <w:top w:val="nil"/>
                    <w:left w:val="nil"/>
                    <w:bottom w:val="nil"/>
                    <w:right w:val="nil"/>
                  </w:tcBorders>
                  <w:noWrap/>
                  <w:vAlign w:val="center"/>
                  <w:hideMark/>
                </w:tcPr>
                <w:p w14:paraId="3ABF13D8" w14:textId="77777777" w:rsidR="00B53CA4" w:rsidRPr="00B53CA4" w:rsidRDefault="00B53CA4" w:rsidP="00B53CA4">
                  <w:pPr>
                    <w:rPr>
                      <w:rFonts w:ascii="Times New Roman" w:eastAsia="Times New Roman" w:hAnsi="Times New Roman" w:cs="Times New Roman"/>
                      <w:kern w:val="0"/>
                      <w:sz w:val="20"/>
                      <w:szCs w:val="20"/>
                      <w14:ligatures w14:val="none"/>
                    </w:rPr>
                  </w:pPr>
                </w:p>
              </w:tc>
            </w:tr>
            <w:tr w:rsidR="005C6611" w:rsidRPr="00B53CA4" w14:paraId="0C916937" w14:textId="77777777" w:rsidTr="005C6611">
              <w:trPr>
                <w:trHeight w:val="270"/>
                <w:jc w:val="center"/>
              </w:trPr>
              <w:tc>
                <w:tcPr>
                  <w:tcW w:w="3740" w:type="dxa"/>
                  <w:tcBorders>
                    <w:top w:val="nil"/>
                    <w:left w:val="nil"/>
                    <w:bottom w:val="nil"/>
                    <w:right w:val="nil"/>
                  </w:tcBorders>
                  <w:noWrap/>
                  <w:vAlign w:val="center"/>
                  <w:hideMark/>
                </w:tcPr>
                <w:p w14:paraId="0CBB0435" w14:textId="77777777" w:rsidR="005C6611" w:rsidRPr="00B53CA4" w:rsidRDefault="005C6611" w:rsidP="005C6611">
                  <w:pPr>
                    <w:rPr>
                      <w:rFonts w:ascii="Calibri" w:eastAsia="Times New Roman" w:hAnsi="Calibri" w:cs="Calibri"/>
                      <w:color w:val="000000"/>
                      <w:kern w:val="0"/>
                      <w:sz w:val="20"/>
                      <w:szCs w:val="20"/>
                      <w14:ligatures w14:val="none"/>
                    </w:rPr>
                  </w:pPr>
                  <w:r w:rsidRPr="00B53CA4">
                    <w:rPr>
                      <w:rFonts w:ascii="Calibri" w:eastAsia="Times New Roman" w:hAnsi="Calibri" w:cs="Calibri"/>
                      <w:color w:val="000000"/>
                      <w:kern w:val="0"/>
                      <w:sz w:val="20"/>
                      <w:szCs w:val="20"/>
                      <w14:ligatures w14:val="none"/>
                    </w:rPr>
                    <w:t>Intercept</w:t>
                  </w:r>
                </w:p>
              </w:tc>
              <w:tc>
                <w:tcPr>
                  <w:tcW w:w="1082" w:type="dxa"/>
                  <w:tcBorders>
                    <w:top w:val="nil"/>
                    <w:left w:val="nil"/>
                    <w:bottom w:val="nil"/>
                    <w:right w:val="nil"/>
                  </w:tcBorders>
                  <w:noWrap/>
                  <w:vAlign w:val="center"/>
                  <w:hideMark/>
                </w:tcPr>
                <w:p w14:paraId="7D9D09E4" w14:textId="08CBDB1A" w:rsidR="005C6611" w:rsidRPr="00B53CA4" w:rsidRDefault="005C6611" w:rsidP="005C6611">
                  <w:pPr>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13.31*</w:t>
                  </w:r>
                </w:p>
              </w:tc>
            </w:tr>
            <w:tr w:rsidR="005C6611" w:rsidRPr="00B53CA4" w14:paraId="3F02294E" w14:textId="77777777" w:rsidTr="005C6611">
              <w:trPr>
                <w:trHeight w:val="255"/>
                <w:jc w:val="center"/>
              </w:trPr>
              <w:tc>
                <w:tcPr>
                  <w:tcW w:w="3740" w:type="dxa"/>
                  <w:tcBorders>
                    <w:top w:val="nil"/>
                    <w:left w:val="nil"/>
                    <w:bottom w:val="nil"/>
                    <w:right w:val="nil"/>
                  </w:tcBorders>
                  <w:noWrap/>
                  <w:vAlign w:val="center"/>
                  <w:hideMark/>
                </w:tcPr>
                <w:p w14:paraId="417E2059" w14:textId="77777777" w:rsidR="005C6611" w:rsidRPr="00B53CA4" w:rsidRDefault="005C6611" w:rsidP="005C6611">
                  <w:pPr>
                    <w:jc w:val="right"/>
                    <w:rPr>
                      <w:rFonts w:ascii="Calibri" w:eastAsia="Times New Roman" w:hAnsi="Calibri" w:cs="Calibri"/>
                      <w:color w:val="000000"/>
                      <w:kern w:val="0"/>
                      <w:sz w:val="20"/>
                      <w:szCs w:val="20"/>
                      <w14:ligatures w14:val="none"/>
                    </w:rPr>
                  </w:pPr>
                </w:p>
              </w:tc>
              <w:tc>
                <w:tcPr>
                  <w:tcW w:w="1082" w:type="dxa"/>
                  <w:tcBorders>
                    <w:top w:val="nil"/>
                    <w:left w:val="nil"/>
                    <w:bottom w:val="nil"/>
                    <w:right w:val="nil"/>
                  </w:tcBorders>
                  <w:noWrap/>
                  <w:vAlign w:val="center"/>
                  <w:hideMark/>
                </w:tcPr>
                <w:p w14:paraId="1EABC71B" w14:textId="0993FA18" w:rsidR="005C6611" w:rsidRPr="005C6611" w:rsidRDefault="005C6611" w:rsidP="005C6611">
                  <w:pPr>
                    <w:jc w:val="right"/>
                    <w:rPr>
                      <w:rFonts w:ascii="Calibri" w:eastAsia="Times New Roman" w:hAnsi="Calibri" w:cs="Calibri"/>
                      <w:i/>
                      <w:iCs/>
                      <w:color w:val="000000"/>
                      <w:kern w:val="0"/>
                      <w:sz w:val="16"/>
                      <w:szCs w:val="16"/>
                      <w14:ligatures w14:val="none"/>
                    </w:rPr>
                  </w:pPr>
                  <w:r w:rsidRPr="005C6611">
                    <w:rPr>
                      <w:rFonts w:ascii="Calibri" w:hAnsi="Calibri" w:cs="Calibri"/>
                      <w:i/>
                      <w:iCs/>
                      <w:color w:val="000000"/>
                      <w:sz w:val="16"/>
                      <w:szCs w:val="16"/>
                    </w:rPr>
                    <w:t>(0.88)</w:t>
                  </w:r>
                </w:p>
              </w:tc>
            </w:tr>
            <w:tr w:rsidR="005C6611" w:rsidRPr="00B53CA4" w14:paraId="64D52AF8" w14:textId="77777777" w:rsidTr="005C6611">
              <w:trPr>
                <w:trHeight w:val="255"/>
                <w:jc w:val="center"/>
              </w:trPr>
              <w:tc>
                <w:tcPr>
                  <w:tcW w:w="3740" w:type="dxa"/>
                  <w:tcBorders>
                    <w:top w:val="nil"/>
                    <w:left w:val="nil"/>
                    <w:bottom w:val="nil"/>
                    <w:right w:val="nil"/>
                  </w:tcBorders>
                  <w:noWrap/>
                  <w:vAlign w:val="center"/>
                  <w:hideMark/>
                </w:tcPr>
                <w:p w14:paraId="50F76EA6" w14:textId="77777777" w:rsidR="005C6611" w:rsidRPr="00B53CA4" w:rsidRDefault="005C6611" w:rsidP="005C6611">
                  <w:pPr>
                    <w:rPr>
                      <w:rFonts w:ascii="Calibri" w:eastAsia="Times New Roman" w:hAnsi="Calibri" w:cs="Calibri"/>
                      <w:color w:val="000000"/>
                      <w:kern w:val="0"/>
                      <w:sz w:val="20"/>
                      <w:szCs w:val="20"/>
                      <w14:ligatures w14:val="none"/>
                    </w:rPr>
                  </w:pPr>
                  <w:r w:rsidRPr="00B53CA4">
                    <w:rPr>
                      <w:rFonts w:ascii="Calibri" w:eastAsia="Times New Roman" w:hAnsi="Calibri" w:cs="Calibri"/>
                      <w:color w:val="000000"/>
                      <w:kern w:val="0"/>
                      <w:sz w:val="20"/>
                      <w:szCs w:val="20"/>
                      <w14:ligatures w14:val="none"/>
                    </w:rPr>
                    <w:t>Data Center Share of State Consumption</w:t>
                  </w:r>
                </w:p>
              </w:tc>
              <w:tc>
                <w:tcPr>
                  <w:tcW w:w="1082" w:type="dxa"/>
                  <w:tcBorders>
                    <w:top w:val="nil"/>
                    <w:left w:val="nil"/>
                    <w:bottom w:val="nil"/>
                    <w:right w:val="nil"/>
                  </w:tcBorders>
                  <w:noWrap/>
                  <w:vAlign w:val="center"/>
                  <w:hideMark/>
                </w:tcPr>
                <w:p w14:paraId="3F5CC3ED" w14:textId="3765394D" w:rsidR="005C6611" w:rsidRPr="00B53CA4" w:rsidRDefault="005C6611" w:rsidP="005C6611">
                  <w:pPr>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-30.21**</w:t>
                  </w:r>
                </w:p>
              </w:tc>
            </w:tr>
            <w:tr w:rsidR="005C6611" w:rsidRPr="00B53CA4" w14:paraId="0ADD1953" w14:textId="77777777" w:rsidTr="005C6611">
              <w:trPr>
                <w:trHeight w:val="255"/>
                <w:jc w:val="center"/>
              </w:trPr>
              <w:tc>
                <w:tcPr>
                  <w:tcW w:w="3740" w:type="dxa"/>
                  <w:tcBorders>
                    <w:top w:val="nil"/>
                    <w:left w:val="nil"/>
                    <w:bottom w:val="nil"/>
                    <w:right w:val="nil"/>
                  </w:tcBorders>
                  <w:noWrap/>
                  <w:vAlign w:val="center"/>
                  <w:hideMark/>
                </w:tcPr>
                <w:p w14:paraId="60DE5E0F" w14:textId="77777777" w:rsidR="005C6611" w:rsidRPr="00B53CA4" w:rsidRDefault="005C6611" w:rsidP="005C6611">
                  <w:pPr>
                    <w:jc w:val="right"/>
                    <w:rPr>
                      <w:rFonts w:ascii="Calibri" w:eastAsia="Times New Roman" w:hAnsi="Calibri" w:cs="Calibri"/>
                      <w:color w:val="000000"/>
                      <w:kern w:val="0"/>
                      <w:sz w:val="20"/>
                      <w:szCs w:val="20"/>
                      <w14:ligatures w14:val="none"/>
                    </w:rPr>
                  </w:pPr>
                </w:p>
              </w:tc>
              <w:tc>
                <w:tcPr>
                  <w:tcW w:w="1082" w:type="dxa"/>
                  <w:tcBorders>
                    <w:top w:val="nil"/>
                    <w:left w:val="nil"/>
                    <w:bottom w:val="nil"/>
                    <w:right w:val="nil"/>
                  </w:tcBorders>
                  <w:noWrap/>
                  <w:vAlign w:val="center"/>
                  <w:hideMark/>
                </w:tcPr>
                <w:p w14:paraId="4DCB49DA" w14:textId="4E50497D" w:rsidR="005C6611" w:rsidRPr="005C6611" w:rsidRDefault="005C6611" w:rsidP="005C6611">
                  <w:pPr>
                    <w:jc w:val="right"/>
                    <w:rPr>
                      <w:rFonts w:ascii="Calibri" w:eastAsia="Times New Roman" w:hAnsi="Calibri" w:cs="Calibri"/>
                      <w:i/>
                      <w:iCs/>
                      <w:color w:val="000000"/>
                      <w:kern w:val="0"/>
                      <w:sz w:val="16"/>
                      <w:szCs w:val="16"/>
                      <w14:ligatures w14:val="none"/>
                    </w:rPr>
                  </w:pPr>
                  <w:r w:rsidRPr="005C6611">
                    <w:rPr>
                      <w:rFonts w:ascii="Calibri" w:hAnsi="Calibri" w:cs="Calibri"/>
                      <w:i/>
                      <w:iCs/>
                      <w:color w:val="000000"/>
                      <w:sz w:val="16"/>
                      <w:szCs w:val="16"/>
                    </w:rPr>
                    <w:t>(13.17)</w:t>
                  </w:r>
                </w:p>
              </w:tc>
            </w:tr>
            <w:tr w:rsidR="005C6611" w:rsidRPr="00B53CA4" w14:paraId="0E905F25" w14:textId="77777777" w:rsidTr="005C6611">
              <w:trPr>
                <w:trHeight w:val="255"/>
                <w:jc w:val="center"/>
              </w:trPr>
              <w:tc>
                <w:tcPr>
                  <w:tcW w:w="3740" w:type="dxa"/>
                  <w:tcBorders>
                    <w:top w:val="nil"/>
                    <w:left w:val="nil"/>
                    <w:bottom w:val="nil"/>
                    <w:right w:val="nil"/>
                  </w:tcBorders>
                  <w:noWrap/>
                  <w:vAlign w:val="center"/>
                  <w:hideMark/>
                </w:tcPr>
                <w:p w14:paraId="5F21328F" w14:textId="77777777" w:rsidR="005C6611" w:rsidRPr="00B53CA4" w:rsidRDefault="005C6611" w:rsidP="005C6611">
                  <w:pPr>
                    <w:rPr>
                      <w:rFonts w:ascii="Calibri" w:eastAsia="Times New Roman" w:hAnsi="Calibri" w:cs="Calibri"/>
                      <w:color w:val="000000"/>
                      <w:kern w:val="0"/>
                      <w:sz w:val="20"/>
                      <w:szCs w:val="20"/>
                      <w14:ligatures w14:val="none"/>
                    </w:rPr>
                  </w:pPr>
                  <w:r w:rsidRPr="00B53CA4">
                    <w:rPr>
                      <w:rFonts w:ascii="Calibri" w:eastAsia="Times New Roman" w:hAnsi="Calibri" w:cs="Calibri"/>
                      <w:color w:val="000000"/>
                      <w:kern w:val="0"/>
                      <w:sz w:val="20"/>
                      <w:szCs w:val="20"/>
                      <w14:ligatures w14:val="none"/>
                    </w:rPr>
                    <w:t>RPS 50% +</w:t>
                  </w:r>
                </w:p>
              </w:tc>
              <w:tc>
                <w:tcPr>
                  <w:tcW w:w="1082" w:type="dxa"/>
                  <w:tcBorders>
                    <w:top w:val="nil"/>
                    <w:left w:val="nil"/>
                    <w:bottom w:val="nil"/>
                    <w:right w:val="nil"/>
                  </w:tcBorders>
                  <w:noWrap/>
                  <w:vAlign w:val="center"/>
                  <w:hideMark/>
                </w:tcPr>
                <w:p w14:paraId="179D74A3" w14:textId="4154052E" w:rsidR="005C6611" w:rsidRPr="00B53CA4" w:rsidRDefault="005C6611" w:rsidP="005C6611">
                  <w:pPr>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5.05*</w:t>
                  </w:r>
                </w:p>
              </w:tc>
            </w:tr>
            <w:tr w:rsidR="005C6611" w:rsidRPr="00B53CA4" w14:paraId="4AC672A2" w14:textId="77777777" w:rsidTr="005C6611">
              <w:trPr>
                <w:trHeight w:val="255"/>
                <w:jc w:val="center"/>
              </w:trPr>
              <w:tc>
                <w:tcPr>
                  <w:tcW w:w="3740" w:type="dxa"/>
                  <w:tcBorders>
                    <w:top w:val="nil"/>
                    <w:left w:val="nil"/>
                    <w:bottom w:val="nil"/>
                    <w:right w:val="nil"/>
                  </w:tcBorders>
                  <w:noWrap/>
                  <w:vAlign w:val="center"/>
                  <w:hideMark/>
                </w:tcPr>
                <w:p w14:paraId="539EBE52" w14:textId="77777777" w:rsidR="005C6611" w:rsidRPr="00B53CA4" w:rsidRDefault="005C6611" w:rsidP="005C6611">
                  <w:pPr>
                    <w:jc w:val="right"/>
                    <w:rPr>
                      <w:rFonts w:ascii="Calibri" w:eastAsia="Times New Roman" w:hAnsi="Calibri" w:cs="Calibri"/>
                      <w:color w:val="000000"/>
                      <w:kern w:val="0"/>
                      <w:sz w:val="20"/>
                      <w:szCs w:val="20"/>
                      <w14:ligatures w14:val="none"/>
                    </w:rPr>
                  </w:pPr>
                </w:p>
              </w:tc>
              <w:tc>
                <w:tcPr>
                  <w:tcW w:w="1082" w:type="dxa"/>
                  <w:tcBorders>
                    <w:top w:val="nil"/>
                    <w:left w:val="nil"/>
                    <w:bottom w:val="nil"/>
                    <w:right w:val="nil"/>
                  </w:tcBorders>
                  <w:noWrap/>
                  <w:vAlign w:val="center"/>
                  <w:hideMark/>
                </w:tcPr>
                <w:p w14:paraId="0BF82C41" w14:textId="2501BA06" w:rsidR="005C6611" w:rsidRPr="005C6611" w:rsidRDefault="005C6611" w:rsidP="005C6611">
                  <w:pPr>
                    <w:jc w:val="right"/>
                    <w:rPr>
                      <w:rFonts w:ascii="Calibri" w:eastAsia="Times New Roman" w:hAnsi="Calibri" w:cs="Calibri"/>
                      <w:i/>
                      <w:iCs/>
                      <w:color w:val="000000"/>
                      <w:kern w:val="0"/>
                      <w:sz w:val="16"/>
                      <w:szCs w:val="16"/>
                      <w14:ligatures w14:val="none"/>
                    </w:rPr>
                  </w:pPr>
                  <w:r w:rsidRPr="005C6611">
                    <w:rPr>
                      <w:rFonts w:ascii="Calibri" w:hAnsi="Calibri" w:cs="Calibri"/>
                      <w:i/>
                      <w:iCs/>
                      <w:color w:val="000000"/>
                      <w:sz w:val="16"/>
                      <w:szCs w:val="16"/>
                    </w:rPr>
                    <w:t>(1.51)</w:t>
                  </w:r>
                </w:p>
              </w:tc>
            </w:tr>
            <w:tr w:rsidR="005C6611" w:rsidRPr="00B53CA4" w14:paraId="434B840E" w14:textId="77777777" w:rsidTr="005C6611">
              <w:trPr>
                <w:trHeight w:val="255"/>
                <w:jc w:val="center"/>
              </w:trPr>
              <w:tc>
                <w:tcPr>
                  <w:tcW w:w="3740" w:type="dxa"/>
                  <w:tcBorders>
                    <w:top w:val="nil"/>
                    <w:left w:val="nil"/>
                    <w:bottom w:val="nil"/>
                    <w:right w:val="nil"/>
                  </w:tcBorders>
                  <w:noWrap/>
                  <w:vAlign w:val="center"/>
                  <w:hideMark/>
                </w:tcPr>
                <w:p w14:paraId="3A289375" w14:textId="622E2E84" w:rsidR="005C6611" w:rsidRPr="00B53CA4" w:rsidRDefault="005C6611" w:rsidP="005C6611">
                  <w:pPr>
                    <w:rPr>
                      <w:rFonts w:ascii="Calibri" w:eastAsia="Times New Roman" w:hAnsi="Calibri" w:cs="Calibri"/>
                      <w:color w:val="000000"/>
                      <w:kern w:val="0"/>
                      <w:sz w:val="20"/>
                      <w:szCs w:val="20"/>
                      <w14:ligatures w14:val="none"/>
                    </w:rPr>
                  </w:pPr>
                  <w:r w:rsidRPr="00B53CA4">
                    <w:rPr>
                      <w:rFonts w:ascii="Calibri" w:eastAsia="Times New Roman" w:hAnsi="Calibri" w:cs="Calibri"/>
                      <w:color w:val="000000"/>
                      <w:kern w:val="0"/>
                      <w:sz w:val="20"/>
                      <w:szCs w:val="20"/>
                      <w14:ligatures w14:val="none"/>
                    </w:rPr>
                    <w:t xml:space="preserve">RPS 100% </w:t>
                  </w:r>
                </w:p>
              </w:tc>
              <w:tc>
                <w:tcPr>
                  <w:tcW w:w="1082" w:type="dxa"/>
                  <w:tcBorders>
                    <w:top w:val="nil"/>
                    <w:left w:val="nil"/>
                    <w:bottom w:val="nil"/>
                    <w:right w:val="nil"/>
                  </w:tcBorders>
                  <w:noWrap/>
                  <w:vAlign w:val="center"/>
                  <w:hideMark/>
                </w:tcPr>
                <w:p w14:paraId="41ADCAD7" w14:textId="675C5EF1" w:rsidR="005C6611" w:rsidRPr="00B53CA4" w:rsidRDefault="005C6611" w:rsidP="005C6611">
                  <w:pPr>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6.80**</w:t>
                  </w:r>
                </w:p>
              </w:tc>
            </w:tr>
            <w:tr w:rsidR="005C6611" w:rsidRPr="00B53CA4" w14:paraId="46C8EAEC" w14:textId="77777777" w:rsidTr="005C6611">
              <w:trPr>
                <w:trHeight w:val="255"/>
                <w:jc w:val="center"/>
              </w:trPr>
              <w:tc>
                <w:tcPr>
                  <w:tcW w:w="3740" w:type="dxa"/>
                  <w:tcBorders>
                    <w:top w:val="nil"/>
                    <w:left w:val="nil"/>
                    <w:bottom w:val="nil"/>
                    <w:right w:val="nil"/>
                  </w:tcBorders>
                  <w:noWrap/>
                  <w:vAlign w:val="center"/>
                  <w:hideMark/>
                </w:tcPr>
                <w:p w14:paraId="4315E0C8" w14:textId="77777777" w:rsidR="005C6611" w:rsidRPr="00B53CA4" w:rsidRDefault="005C6611" w:rsidP="005C6611">
                  <w:pPr>
                    <w:jc w:val="right"/>
                    <w:rPr>
                      <w:rFonts w:ascii="Calibri" w:eastAsia="Times New Roman" w:hAnsi="Calibri" w:cs="Calibri"/>
                      <w:color w:val="000000"/>
                      <w:kern w:val="0"/>
                      <w:sz w:val="20"/>
                      <w:szCs w:val="20"/>
                      <w14:ligatures w14:val="none"/>
                    </w:rPr>
                  </w:pPr>
                </w:p>
              </w:tc>
              <w:tc>
                <w:tcPr>
                  <w:tcW w:w="1082" w:type="dxa"/>
                  <w:tcBorders>
                    <w:top w:val="nil"/>
                    <w:left w:val="nil"/>
                    <w:bottom w:val="nil"/>
                    <w:right w:val="nil"/>
                  </w:tcBorders>
                  <w:noWrap/>
                  <w:vAlign w:val="center"/>
                  <w:hideMark/>
                </w:tcPr>
                <w:p w14:paraId="395D2E60" w14:textId="5BE0985A" w:rsidR="005C6611" w:rsidRPr="005C6611" w:rsidRDefault="005C6611" w:rsidP="005C6611">
                  <w:pPr>
                    <w:jc w:val="right"/>
                    <w:rPr>
                      <w:rFonts w:ascii="Calibri" w:eastAsia="Times New Roman" w:hAnsi="Calibri" w:cs="Calibri"/>
                      <w:i/>
                      <w:iCs/>
                      <w:color w:val="000000"/>
                      <w:kern w:val="0"/>
                      <w:sz w:val="16"/>
                      <w:szCs w:val="16"/>
                      <w14:ligatures w14:val="none"/>
                    </w:rPr>
                  </w:pPr>
                  <w:r w:rsidRPr="005C6611">
                    <w:rPr>
                      <w:rFonts w:ascii="Calibri" w:hAnsi="Calibri" w:cs="Calibri"/>
                      <w:i/>
                      <w:iCs/>
                      <w:color w:val="000000"/>
                      <w:sz w:val="16"/>
                      <w:szCs w:val="16"/>
                    </w:rPr>
                    <w:t>(2.66)</w:t>
                  </w:r>
                </w:p>
              </w:tc>
            </w:tr>
            <w:tr w:rsidR="005C6611" w:rsidRPr="00B53CA4" w14:paraId="7F8D5C15" w14:textId="77777777" w:rsidTr="005C6611">
              <w:trPr>
                <w:trHeight w:val="72"/>
                <w:jc w:val="center"/>
              </w:trPr>
              <w:tc>
                <w:tcPr>
                  <w:tcW w:w="3740" w:type="dxa"/>
                  <w:tcBorders>
                    <w:top w:val="nil"/>
                    <w:left w:val="nil"/>
                    <w:bottom w:val="nil"/>
                    <w:right w:val="nil"/>
                  </w:tcBorders>
                  <w:noWrap/>
                  <w:vAlign w:val="center"/>
                  <w:hideMark/>
                </w:tcPr>
                <w:p w14:paraId="24E9359B" w14:textId="77777777" w:rsidR="005C6611" w:rsidRPr="00B53CA4" w:rsidRDefault="005C6611" w:rsidP="005C6611">
                  <w:pPr>
                    <w:jc w:val="right"/>
                    <w:rPr>
                      <w:rFonts w:ascii="Calibri" w:eastAsia="Times New Roman" w:hAnsi="Calibri" w:cs="Calibri"/>
                      <w:i/>
                      <w:iCs/>
                      <w:color w:val="000000"/>
                      <w:kern w:val="0"/>
                      <w:sz w:val="20"/>
                      <w:szCs w:val="20"/>
                      <w14:ligatures w14:val="none"/>
                    </w:rPr>
                  </w:pPr>
                </w:p>
              </w:tc>
              <w:tc>
                <w:tcPr>
                  <w:tcW w:w="1082" w:type="dxa"/>
                  <w:tcBorders>
                    <w:top w:val="nil"/>
                    <w:left w:val="nil"/>
                    <w:bottom w:val="nil"/>
                    <w:right w:val="nil"/>
                  </w:tcBorders>
                  <w:noWrap/>
                  <w:vAlign w:val="center"/>
                  <w:hideMark/>
                </w:tcPr>
                <w:p w14:paraId="21BA34EE" w14:textId="77777777" w:rsidR="005C6611" w:rsidRPr="00B53CA4" w:rsidRDefault="005C6611" w:rsidP="005C6611">
                  <w:pPr>
                    <w:rPr>
                      <w:rFonts w:ascii="Times New Roman" w:eastAsia="Times New Roman" w:hAnsi="Times New Roman" w:cs="Times New Roman"/>
                      <w:kern w:val="0"/>
                      <w:sz w:val="20"/>
                      <w:szCs w:val="20"/>
                      <w14:ligatures w14:val="none"/>
                    </w:rPr>
                  </w:pPr>
                </w:p>
              </w:tc>
            </w:tr>
            <w:tr w:rsidR="005C6611" w:rsidRPr="00B53CA4" w14:paraId="474F3C00" w14:textId="77777777" w:rsidTr="005C6611">
              <w:trPr>
                <w:trHeight w:val="255"/>
                <w:jc w:val="center"/>
              </w:trPr>
              <w:tc>
                <w:tcPr>
                  <w:tcW w:w="3740" w:type="dxa"/>
                  <w:tcBorders>
                    <w:top w:val="nil"/>
                    <w:left w:val="nil"/>
                    <w:bottom w:val="nil"/>
                    <w:right w:val="nil"/>
                  </w:tcBorders>
                  <w:noWrap/>
                  <w:vAlign w:val="center"/>
                  <w:hideMark/>
                </w:tcPr>
                <w:p w14:paraId="6D1298B9" w14:textId="48745D2F" w:rsidR="005C6611" w:rsidRPr="00E05C17" w:rsidRDefault="005C6611" w:rsidP="005C6611">
                  <w:pPr>
                    <w:rPr>
                      <w:rFonts w:ascii="Calibri" w:eastAsia="Times New Roman" w:hAnsi="Calibri" w:cs="Calibri"/>
                      <w:kern w:val="0"/>
                      <w:vertAlign w:val="superscript"/>
                      <w14:ligatures w14:val="none"/>
                    </w:rPr>
                  </w:pPr>
                  <w:r w:rsidRPr="00E05C17">
                    <w:rPr>
                      <w:rFonts w:ascii="Calibri" w:eastAsia="Times New Roman" w:hAnsi="Calibri" w:cs="Calibri"/>
                      <w:color w:val="000000"/>
                      <w:kern w:val="0"/>
                      <w:sz w:val="20"/>
                      <w:szCs w:val="20"/>
                      <w14:ligatures w14:val="none"/>
                    </w:rPr>
                    <w:t xml:space="preserve">Adj. </w:t>
                  </w:r>
                  <w:r w:rsidRPr="00E05C17">
                    <w:rPr>
                      <w:rFonts w:ascii="Calibri" w:eastAsia="Times New Roman" w:hAnsi="Calibri" w:cs="Calibri"/>
                      <w:kern w:val="0"/>
                      <w:sz w:val="20"/>
                      <w:szCs w:val="20"/>
                      <w14:ligatures w14:val="none"/>
                    </w:rPr>
                    <w:t>R</w:t>
                  </w:r>
                  <w:r w:rsidRPr="00E05C17">
                    <w:rPr>
                      <w:rFonts w:ascii="Calibri" w:eastAsia="Times New Roman" w:hAnsi="Calibri" w:cs="Calibri"/>
                      <w:kern w:val="0"/>
                      <w:sz w:val="20"/>
                      <w:szCs w:val="20"/>
                      <w:vertAlign w:val="superscript"/>
                      <w14:ligatures w14:val="none"/>
                    </w:rPr>
                    <w:t>2</w:t>
                  </w:r>
                </w:p>
              </w:tc>
              <w:tc>
                <w:tcPr>
                  <w:tcW w:w="1082" w:type="dxa"/>
                  <w:tcBorders>
                    <w:top w:val="nil"/>
                    <w:left w:val="nil"/>
                    <w:bottom w:val="nil"/>
                    <w:right w:val="nil"/>
                  </w:tcBorders>
                  <w:noWrap/>
                  <w:vAlign w:val="center"/>
                  <w:hideMark/>
                </w:tcPr>
                <w:p w14:paraId="7D79DE39" w14:textId="382E2DA2" w:rsidR="005C6611" w:rsidRPr="00E05C17" w:rsidRDefault="005C6611" w:rsidP="005C6611">
                  <w:pPr>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0.4588</w:t>
                  </w:r>
                </w:p>
              </w:tc>
            </w:tr>
            <w:tr w:rsidR="005C6611" w:rsidRPr="005C6611" w14:paraId="2B5F000D" w14:textId="77777777" w:rsidTr="005C6611">
              <w:trPr>
                <w:trHeight w:val="270"/>
                <w:jc w:val="center"/>
              </w:trPr>
              <w:tc>
                <w:tcPr>
                  <w:tcW w:w="3740" w:type="dxa"/>
                  <w:tcBorders>
                    <w:top w:val="nil"/>
                    <w:left w:val="nil"/>
                    <w:bottom w:val="single" w:sz="8" w:space="0" w:color="auto"/>
                    <w:right w:val="nil"/>
                  </w:tcBorders>
                  <w:noWrap/>
                  <w:vAlign w:val="center"/>
                  <w:hideMark/>
                </w:tcPr>
                <w:p w14:paraId="45BD9940" w14:textId="77777777" w:rsidR="005C6611" w:rsidRPr="00E05C17" w:rsidRDefault="005C6611" w:rsidP="005C6611">
                  <w:pPr>
                    <w:rPr>
                      <w:rFonts w:ascii="Calibri" w:eastAsia="Times New Roman" w:hAnsi="Calibri" w:cs="Calibri"/>
                      <w:color w:val="000000"/>
                      <w:kern w:val="0"/>
                      <w:sz w:val="20"/>
                      <w:szCs w:val="20"/>
                      <w14:ligatures w14:val="none"/>
                    </w:rPr>
                  </w:pPr>
                  <w:r w:rsidRPr="00E05C17">
                    <w:rPr>
                      <w:rFonts w:ascii="Calibri" w:eastAsia="Times New Roman" w:hAnsi="Calibri" w:cs="Calibri"/>
                      <w:color w:val="000000"/>
                      <w:kern w:val="0"/>
                      <w:sz w:val="20"/>
                      <w:szCs w:val="20"/>
                      <w14:ligatures w14:val="none"/>
                    </w:rPr>
                    <w:t>Observations</w:t>
                  </w:r>
                </w:p>
              </w:tc>
              <w:tc>
                <w:tcPr>
                  <w:tcW w:w="1082" w:type="dxa"/>
                  <w:tcBorders>
                    <w:top w:val="nil"/>
                    <w:left w:val="nil"/>
                    <w:bottom w:val="single" w:sz="8" w:space="0" w:color="auto"/>
                    <w:right w:val="nil"/>
                  </w:tcBorders>
                  <w:noWrap/>
                  <w:vAlign w:val="center"/>
                  <w:hideMark/>
                </w:tcPr>
                <w:p w14:paraId="15AD1082" w14:textId="3DE76F1D" w:rsidR="005C6611" w:rsidRPr="005C6611" w:rsidRDefault="005C6611" w:rsidP="005C6611">
                  <w:pPr>
                    <w:jc w:val="right"/>
                    <w:rPr>
                      <w:rFonts w:ascii="Calibri" w:eastAsia="Times New Roman" w:hAnsi="Calibri" w:cs="Calibri"/>
                      <w:color w:val="000000"/>
                      <w:kern w:val="0"/>
                      <w:sz w:val="20"/>
                      <w:szCs w:val="20"/>
                      <w14:ligatures w14:val="none"/>
                    </w:rPr>
                  </w:pPr>
                  <w:r>
                    <w:rPr>
                      <w:rFonts w:ascii="Calibri" w:hAnsi="Calibri" w:cs="Calibri"/>
                      <w:color w:val="000000"/>
                      <w:sz w:val="20"/>
                      <w:szCs w:val="20"/>
                    </w:rPr>
                    <w:t>51</w:t>
                  </w:r>
                </w:p>
              </w:tc>
            </w:tr>
          </w:tbl>
          <w:p w14:paraId="1882D999" w14:textId="6EE2717C" w:rsidR="005C6611" w:rsidRDefault="00B53CA4" w:rsidP="00B53CA4">
            <w:pPr>
              <w:jc w:val="center"/>
              <w:rPr>
                <w:rFonts w:ascii="Calibri" w:eastAsia="Times New Roman" w:hAnsi="Calibri" w:cs="Calibri"/>
                <w:i/>
                <w:iCs/>
                <w:kern w:val="0"/>
                <w:sz w:val="14"/>
                <w:szCs w:val="14"/>
                <w14:ligatures w14:val="none"/>
              </w:rPr>
            </w:pPr>
            <w:r w:rsidRPr="00B53CA4">
              <w:rPr>
                <w:rFonts w:ascii="Calibri" w:eastAsia="Times New Roman" w:hAnsi="Calibri" w:cs="Calibri"/>
                <w:i/>
                <w:iCs/>
                <w:kern w:val="0"/>
                <w:sz w:val="14"/>
                <w:szCs w:val="14"/>
                <w14:ligatures w14:val="none"/>
              </w:rPr>
              <w:t>Standard errors in parentheses </w:t>
            </w:r>
          </w:p>
          <w:p w14:paraId="7CBCF0FA" w14:textId="63358D84" w:rsidR="00B53CA4" w:rsidRPr="00B53CA4" w:rsidRDefault="00B53CA4" w:rsidP="00B53CA4">
            <w:pPr>
              <w:jc w:val="center"/>
              <w:rPr>
                <w:rFonts w:ascii="Calibri" w:eastAsia="Times New Roman" w:hAnsi="Calibri" w:cs="Calibri"/>
                <w:i/>
                <w:iCs/>
                <w:kern w:val="0"/>
                <w:sz w:val="14"/>
                <w:szCs w:val="14"/>
                <w14:ligatures w14:val="none"/>
              </w:rPr>
            </w:pPr>
            <w:r w:rsidRPr="00B53CA4">
              <w:rPr>
                <w:rFonts w:ascii="Calibri" w:eastAsia="Times New Roman" w:hAnsi="Calibri" w:cs="Calibri"/>
                <w:i/>
                <w:iCs/>
                <w:kern w:val="0"/>
                <w:sz w:val="14"/>
                <w:szCs w:val="14"/>
                <w14:ligatures w14:val="none"/>
              </w:rPr>
              <w:t xml:space="preserve"> </w:t>
            </w:r>
            <w:r>
              <w:rPr>
                <w:rFonts w:ascii="Calibri" w:eastAsia="Times New Roman" w:hAnsi="Calibri" w:cs="Calibri"/>
                <w:i/>
                <w:iCs/>
                <w:kern w:val="0"/>
                <w:sz w:val="14"/>
                <w:szCs w:val="14"/>
                <w14:ligatures w14:val="none"/>
              </w:rPr>
              <w:t>*9</w:t>
            </w:r>
            <w:r w:rsidR="005C6611">
              <w:rPr>
                <w:rFonts w:ascii="Calibri" w:eastAsia="Times New Roman" w:hAnsi="Calibri" w:cs="Calibri"/>
                <w:i/>
                <w:iCs/>
                <w:kern w:val="0"/>
                <w:sz w:val="14"/>
                <w:szCs w:val="14"/>
                <w14:ligatures w14:val="none"/>
              </w:rPr>
              <w:t>9</w:t>
            </w:r>
            <w:r>
              <w:rPr>
                <w:rFonts w:ascii="Calibri" w:eastAsia="Times New Roman" w:hAnsi="Calibri" w:cs="Calibri"/>
                <w:i/>
                <w:iCs/>
                <w:kern w:val="0"/>
                <w:sz w:val="14"/>
                <w:szCs w:val="14"/>
                <w14:ligatures w14:val="none"/>
              </w:rPr>
              <w:t>% significance, **9</w:t>
            </w:r>
            <w:r w:rsidR="005C6611">
              <w:rPr>
                <w:rFonts w:ascii="Calibri" w:eastAsia="Times New Roman" w:hAnsi="Calibri" w:cs="Calibri"/>
                <w:i/>
                <w:iCs/>
                <w:kern w:val="0"/>
                <w:sz w:val="14"/>
                <w:szCs w:val="14"/>
                <w14:ligatures w14:val="none"/>
              </w:rPr>
              <w:t>5</w:t>
            </w:r>
            <w:r>
              <w:rPr>
                <w:rFonts w:ascii="Calibri" w:eastAsia="Times New Roman" w:hAnsi="Calibri" w:cs="Calibri"/>
                <w:i/>
                <w:iCs/>
                <w:kern w:val="0"/>
                <w:sz w:val="14"/>
                <w:szCs w:val="14"/>
                <w14:ligatures w14:val="none"/>
              </w:rPr>
              <w:t>% significance</w:t>
            </w:r>
            <w:r w:rsidR="005C6611">
              <w:rPr>
                <w:rFonts w:ascii="Calibri" w:eastAsia="Times New Roman" w:hAnsi="Calibri" w:cs="Calibri"/>
                <w:i/>
                <w:iCs/>
                <w:kern w:val="0"/>
                <w:sz w:val="14"/>
                <w:szCs w:val="14"/>
                <w14:ligatures w14:val="none"/>
              </w:rPr>
              <w:t>, ***90% significance</w:t>
            </w:r>
          </w:p>
          <w:p w14:paraId="78E2D3EC" w14:textId="77777777" w:rsidR="00B53CA4" w:rsidRDefault="00B53CA4" w:rsidP="00082E66">
            <w:pPr>
              <w:rPr>
                <w:rFonts w:ascii="Calibri" w:eastAsia="Times New Roman" w:hAnsi="Calibri" w:cs="Calibri"/>
                <w:kern w:val="0"/>
                <w14:ligatures w14:val="none"/>
              </w:rPr>
            </w:pPr>
          </w:p>
          <w:p w14:paraId="30A91ABC" w14:textId="77777777" w:rsidR="00627FD6" w:rsidRDefault="00E05C17" w:rsidP="00082E66">
            <w:pPr>
              <w:rPr>
                <w:rFonts w:ascii="Calibri" w:eastAsia="Times New Roman" w:hAnsi="Calibri" w:cs="Calibri"/>
                <w:kern w:val="0"/>
                <w14:ligatures w14:val="none"/>
              </w:rPr>
            </w:pPr>
            <w:r>
              <w:rPr>
                <w:rFonts w:ascii="Calibri" w:eastAsia="Times New Roman" w:hAnsi="Calibri" w:cs="Calibri"/>
                <w:kern w:val="0"/>
                <w14:ligatures w14:val="none"/>
              </w:rPr>
              <w:t>The absence of a data center impact to date is also shown by looking at the data itself.  The charts below compare data centers by share of total state electricity consumption from the EPRI data to the change in average state electricity rates from pre-ChatGPT 2022 (12 months ending October that year)</w:t>
            </w:r>
            <w:r w:rsidR="00490E29">
              <w:rPr>
                <w:rFonts w:ascii="Calibri" w:eastAsia="Times New Roman" w:hAnsi="Calibri" w:cs="Calibri"/>
                <w:kern w:val="0"/>
                <w14:ligatures w14:val="none"/>
              </w:rPr>
              <w:t xml:space="preserve"> to the most recent results for the same period ending in 2025.  Both average total electricity rate and average residential rate are shown from the US EIA data.</w:t>
            </w:r>
            <w:r w:rsidR="00627FD6">
              <w:rPr>
                <w:rFonts w:ascii="Calibri" w:eastAsia="Times New Roman" w:hAnsi="Calibri" w:cs="Calibri"/>
                <w:kern w:val="0"/>
                <w14:ligatures w14:val="none"/>
              </w:rPr>
              <w:t xml:space="preserve">  </w:t>
            </w:r>
          </w:p>
          <w:p w14:paraId="022DEFE4" w14:textId="77777777" w:rsidR="00627FD6" w:rsidRDefault="00627FD6" w:rsidP="00082E66">
            <w:pPr>
              <w:rPr>
                <w:rFonts w:ascii="Calibri" w:eastAsia="Times New Roman" w:hAnsi="Calibri" w:cs="Calibri"/>
                <w:kern w:val="0"/>
                <w14:ligatures w14:val="none"/>
              </w:rPr>
            </w:pPr>
          </w:p>
          <w:p w14:paraId="1D0011A7" w14:textId="475C665A" w:rsidR="00E05C17" w:rsidRDefault="00627FD6" w:rsidP="00082E66">
            <w:pPr>
              <w:rPr>
                <w:rFonts w:ascii="Calibri" w:eastAsia="Times New Roman" w:hAnsi="Calibri" w:cs="Calibri"/>
                <w:kern w:val="0"/>
                <w14:ligatures w14:val="none"/>
              </w:rPr>
            </w:pPr>
            <w:r>
              <w:rPr>
                <w:rFonts w:ascii="Calibri" w:eastAsia="Times New Roman" w:hAnsi="Calibri" w:cs="Calibri"/>
                <w:kern w:val="0"/>
                <w14:ligatures w14:val="none"/>
              </w:rPr>
              <w:t>As indicated, there is no clear association between the level of data centers in a state and the scale of cost increases experienced in utility rates.  Taking just the first chart, California with substantially stricter RPS and associated standards saw the average total rate increase just short of 25% while having data centers drawing on only 3.7% of its power.  Virginia at the extreme has seen a rate rise of only 8% while being ground zero for data center development, which takes up 25.6% of its power sales.  The same pattern or rather lack of a pattern is seen for residential rates as well.</w:t>
            </w:r>
          </w:p>
          <w:p w14:paraId="292ABA24" w14:textId="77777777" w:rsidR="004D3167" w:rsidRDefault="004D3167" w:rsidP="00082E66">
            <w:pPr>
              <w:rPr>
                <w:rFonts w:ascii="Calibri" w:eastAsia="Times New Roman" w:hAnsi="Calibri" w:cs="Calibri"/>
                <w:kern w:val="0"/>
                <w14:ligatures w14:val="none"/>
              </w:rPr>
            </w:pPr>
          </w:p>
          <w:p w14:paraId="3EA6C73B" w14:textId="1383733D" w:rsidR="004D3167" w:rsidRDefault="00490E29" w:rsidP="00490E29">
            <w:pPr>
              <w:jc w:val="center"/>
              <w:rPr>
                <w:rFonts w:ascii="Calibri" w:eastAsia="Times New Roman" w:hAnsi="Calibri" w:cs="Calibri"/>
                <w:kern w:val="0"/>
                <w14:ligatures w14:val="none"/>
              </w:rPr>
            </w:pPr>
            <w:r>
              <w:rPr>
                <w:rFonts w:ascii="Calibri" w:eastAsia="Times New Roman" w:hAnsi="Calibri" w:cs="Calibri"/>
                <w:noProof/>
                <w:kern w:val="0"/>
                <w14:ligatures w14:val="none"/>
              </w:rPr>
              <w:lastRenderedPageBreak/>
              <w:drawing>
                <wp:inline distT="0" distB="0" distL="0" distR="0" wp14:anchorId="2DBE09BB" wp14:editId="4127432F">
                  <wp:extent cx="3983692" cy="2493819"/>
                  <wp:effectExtent l="0" t="0" r="0" b="1905"/>
                  <wp:docPr id="1453260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95592" cy="2501268"/>
                          </a:xfrm>
                          <a:prstGeom prst="rect">
                            <a:avLst/>
                          </a:prstGeom>
                          <a:noFill/>
                        </pic:spPr>
                      </pic:pic>
                    </a:graphicData>
                  </a:graphic>
                </wp:inline>
              </w:drawing>
            </w:r>
          </w:p>
          <w:p w14:paraId="056CDE9E" w14:textId="77777777" w:rsidR="00490E29" w:rsidRDefault="00490E29" w:rsidP="00490E29">
            <w:pPr>
              <w:jc w:val="center"/>
              <w:rPr>
                <w:rFonts w:ascii="Calibri" w:eastAsia="Times New Roman" w:hAnsi="Calibri" w:cs="Calibri"/>
                <w:kern w:val="0"/>
                <w14:ligatures w14:val="none"/>
              </w:rPr>
            </w:pPr>
          </w:p>
          <w:p w14:paraId="2078E2E5" w14:textId="2224F985" w:rsidR="00490E29" w:rsidRDefault="00490E29" w:rsidP="00490E29">
            <w:pPr>
              <w:jc w:val="center"/>
              <w:rPr>
                <w:rFonts w:ascii="Calibri" w:eastAsia="Times New Roman" w:hAnsi="Calibri" w:cs="Calibri"/>
                <w:kern w:val="0"/>
                <w14:ligatures w14:val="none"/>
              </w:rPr>
            </w:pPr>
            <w:r>
              <w:rPr>
                <w:rFonts w:ascii="Calibri" w:eastAsia="Times New Roman" w:hAnsi="Calibri" w:cs="Calibri"/>
                <w:noProof/>
                <w:kern w:val="0"/>
                <w14:ligatures w14:val="none"/>
              </w:rPr>
              <w:drawing>
                <wp:inline distT="0" distB="0" distL="0" distR="0" wp14:anchorId="564221FE" wp14:editId="075EC8BF">
                  <wp:extent cx="4010703" cy="2492168"/>
                  <wp:effectExtent l="0" t="0" r="0" b="3810"/>
                  <wp:docPr id="11089603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28261" cy="2503078"/>
                          </a:xfrm>
                          <a:prstGeom prst="rect">
                            <a:avLst/>
                          </a:prstGeom>
                          <a:noFill/>
                        </pic:spPr>
                      </pic:pic>
                    </a:graphicData>
                  </a:graphic>
                </wp:inline>
              </w:drawing>
            </w:r>
          </w:p>
          <w:p w14:paraId="249D006D" w14:textId="77777777" w:rsidR="00627FD6" w:rsidRDefault="00627FD6" w:rsidP="00490E29">
            <w:pPr>
              <w:jc w:val="center"/>
              <w:rPr>
                <w:rFonts w:ascii="Calibri" w:eastAsia="Times New Roman" w:hAnsi="Calibri" w:cs="Calibri"/>
                <w:kern w:val="0"/>
                <w14:ligatures w14:val="none"/>
              </w:rPr>
            </w:pPr>
          </w:p>
          <w:p w14:paraId="6DAC9EC2" w14:textId="1208F7E2" w:rsidR="00627FD6" w:rsidRDefault="00627FD6" w:rsidP="00627FD6">
            <w:pPr>
              <w:rPr>
                <w:rFonts w:ascii="Calibri" w:eastAsia="Times New Roman" w:hAnsi="Calibri" w:cs="Calibri"/>
                <w:kern w:val="0"/>
                <w14:ligatures w14:val="none"/>
              </w:rPr>
            </w:pPr>
            <w:r>
              <w:rPr>
                <w:rFonts w:ascii="Calibri" w:eastAsia="Times New Roman" w:hAnsi="Calibri" w:cs="Calibri"/>
                <w:kern w:val="0"/>
                <w14:ligatures w14:val="none"/>
              </w:rPr>
              <w:t xml:space="preserve">Combining the data, the states </w:t>
            </w:r>
            <w:r w:rsidR="002824C7">
              <w:rPr>
                <w:rFonts w:ascii="Calibri" w:eastAsia="Times New Roman" w:hAnsi="Calibri" w:cs="Calibri"/>
                <w:kern w:val="0"/>
                <w14:ligatures w14:val="none"/>
              </w:rPr>
              <w:t xml:space="preserve">with </w:t>
            </w:r>
            <w:r>
              <w:rPr>
                <w:rFonts w:ascii="Calibri" w:eastAsia="Times New Roman" w:hAnsi="Calibri" w:cs="Calibri"/>
                <w:kern w:val="0"/>
                <w14:ligatures w14:val="none"/>
              </w:rPr>
              <w:t xml:space="preserve">data centers using more than 10% of their electricity had an average total rate increase in this period of 10.1%, while all states with data center usage of 5% or less had a somewhat higher average rate increase of 12.0%.  For residential rates, the respective increases were </w:t>
            </w:r>
            <w:r w:rsidR="00F94FA7">
              <w:rPr>
                <w:rFonts w:ascii="Calibri" w:eastAsia="Times New Roman" w:hAnsi="Calibri" w:cs="Calibri"/>
                <w:kern w:val="0"/>
                <w14:ligatures w14:val="none"/>
              </w:rPr>
              <w:t>15.4% for the high data center states and 15.1% of the low data center states, essentially no difference that again shows no identifiable data center effect.</w:t>
            </w:r>
          </w:p>
          <w:p w14:paraId="1C7B1C4D" w14:textId="77777777" w:rsidR="00F94FA7" w:rsidRDefault="00F94FA7" w:rsidP="00627FD6">
            <w:pPr>
              <w:rPr>
                <w:rFonts w:ascii="Calibri" w:eastAsia="Times New Roman" w:hAnsi="Calibri" w:cs="Calibri"/>
                <w:kern w:val="0"/>
                <w14:ligatures w14:val="none"/>
              </w:rPr>
            </w:pPr>
          </w:p>
          <w:p w14:paraId="41A5FD85" w14:textId="7FC74955" w:rsidR="002824C7" w:rsidRDefault="00BB30F9" w:rsidP="00627FD6">
            <w:pPr>
              <w:rPr>
                <w:rFonts w:ascii="Calibri" w:eastAsia="Times New Roman" w:hAnsi="Calibri" w:cs="Calibri"/>
                <w:kern w:val="0"/>
                <w14:ligatures w14:val="none"/>
              </w:rPr>
            </w:pPr>
            <w:r>
              <w:rPr>
                <w:rFonts w:ascii="Calibri" w:eastAsia="Times New Roman" w:hAnsi="Calibri" w:cs="Calibri"/>
                <w:kern w:val="0"/>
                <w14:ligatures w14:val="none"/>
              </w:rPr>
              <w:t xml:space="preserve">The current </w:t>
            </w:r>
            <w:r w:rsidR="002824C7">
              <w:rPr>
                <w:rFonts w:ascii="Calibri" w:eastAsia="Times New Roman" w:hAnsi="Calibri" w:cs="Calibri"/>
                <w:kern w:val="0"/>
                <w14:ligatures w14:val="none"/>
              </w:rPr>
              <w:t>but</w:t>
            </w:r>
            <w:r>
              <w:rPr>
                <w:rFonts w:ascii="Calibri" w:eastAsia="Times New Roman" w:hAnsi="Calibri" w:cs="Calibri"/>
                <w:kern w:val="0"/>
                <w14:ligatures w14:val="none"/>
              </w:rPr>
              <w:t xml:space="preserve"> recent focus on data centers as a cost of living driver </w:t>
            </w:r>
            <w:r w:rsidR="006549AA">
              <w:rPr>
                <w:rFonts w:ascii="Calibri" w:eastAsia="Times New Roman" w:hAnsi="Calibri" w:cs="Calibri"/>
                <w:kern w:val="0"/>
                <w14:ligatures w14:val="none"/>
              </w:rPr>
              <w:t>only serves to distract</w:t>
            </w:r>
            <w:r>
              <w:rPr>
                <w:rFonts w:ascii="Calibri" w:eastAsia="Times New Roman" w:hAnsi="Calibri" w:cs="Calibri"/>
                <w:kern w:val="0"/>
                <w14:ligatures w14:val="none"/>
              </w:rPr>
              <w:t xml:space="preserve"> from the real cost issues affecting households and employers, namely the tendency of states especially this state to enact policies without a real consideration of the potential costs.  And this tendency is often made worse by </w:t>
            </w:r>
            <w:r w:rsidR="002824C7">
              <w:rPr>
                <w:rFonts w:ascii="Calibri" w:eastAsia="Times New Roman" w:hAnsi="Calibri" w:cs="Calibri"/>
                <w:kern w:val="0"/>
                <w14:ligatures w14:val="none"/>
              </w:rPr>
              <w:t>an unwillingness to acknowledge policy shortcomings when they occur and make necessary course directions.  This is the process that moved California from a state where reliable and affordable energy once served as the base for a thriving middle class economy, to the bifurcated two tier economy we are now in.</w:t>
            </w:r>
          </w:p>
          <w:p w14:paraId="2B04FD05" w14:textId="77777777" w:rsidR="002824C7" w:rsidRDefault="002824C7" w:rsidP="00627FD6">
            <w:pPr>
              <w:rPr>
                <w:rFonts w:ascii="Calibri" w:eastAsia="Times New Roman" w:hAnsi="Calibri" w:cs="Calibri"/>
                <w:kern w:val="0"/>
                <w14:ligatures w14:val="none"/>
              </w:rPr>
            </w:pPr>
          </w:p>
          <w:p w14:paraId="081F0C55" w14:textId="074CA3AF" w:rsidR="00E27F1D" w:rsidRPr="00B53CA4" w:rsidRDefault="002824C7" w:rsidP="00082E66">
            <w:pPr>
              <w:rPr>
                <w:rFonts w:ascii="Calibri" w:eastAsia="Times New Roman" w:hAnsi="Calibri" w:cs="Calibri"/>
                <w:kern w:val="0"/>
                <w14:ligatures w14:val="none"/>
              </w:rPr>
            </w:pPr>
            <w:r>
              <w:rPr>
                <w:rFonts w:ascii="Calibri" w:eastAsia="Times New Roman" w:hAnsi="Calibri" w:cs="Calibri"/>
                <w:kern w:val="0"/>
                <w14:ligatures w14:val="none"/>
              </w:rPr>
              <w:t xml:space="preserve">The current data center trends are critical to the California economy as it is today, and it is important to keep in mind that these developments </w:t>
            </w:r>
            <w:r w:rsidR="006549AA">
              <w:rPr>
                <w:rFonts w:ascii="Calibri" w:eastAsia="Times New Roman" w:hAnsi="Calibri" w:cs="Calibri"/>
                <w:kern w:val="0"/>
                <w14:ligatures w14:val="none"/>
              </w:rPr>
              <w:t>to a substantial degree</w:t>
            </w:r>
            <w:r>
              <w:rPr>
                <w:rFonts w:ascii="Calibri" w:eastAsia="Times New Roman" w:hAnsi="Calibri" w:cs="Calibri"/>
                <w:kern w:val="0"/>
                <w14:ligatures w14:val="none"/>
              </w:rPr>
              <w:t xml:space="preserve"> serve California companies and </w:t>
            </w:r>
            <w:r>
              <w:rPr>
                <w:rFonts w:ascii="Calibri" w:eastAsia="Times New Roman" w:hAnsi="Calibri" w:cs="Calibri"/>
                <w:kern w:val="0"/>
                <w14:ligatures w14:val="none"/>
              </w:rPr>
              <w:lastRenderedPageBreak/>
              <w:t xml:space="preserve">enable the next phase of the Silicon Valley base on which the state now overly depends for its GDP performance, for incomes, and critically for a substantial and growing share of state revenues.  But as usual with state policies, California is again going for the gold while pushing off this component </w:t>
            </w:r>
            <w:r w:rsidR="006549AA">
              <w:rPr>
                <w:rFonts w:ascii="Calibri" w:eastAsia="Times New Roman" w:hAnsi="Calibri" w:cs="Calibri"/>
                <w:kern w:val="0"/>
                <w14:ligatures w14:val="none"/>
              </w:rPr>
              <w:t xml:space="preserve">to other states </w:t>
            </w:r>
            <w:r>
              <w:rPr>
                <w:rFonts w:ascii="Calibri" w:eastAsia="Times New Roman" w:hAnsi="Calibri" w:cs="Calibri"/>
                <w:kern w:val="0"/>
                <w14:ligatures w14:val="none"/>
              </w:rPr>
              <w:t xml:space="preserve">as operators </w:t>
            </w:r>
            <w:r w:rsidR="006549AA">
              <w:rPr>
                <w:rFonts w:ascii="Calibri" w:eastAsia="Times New Roman" w:hAnsi="Calibri" w:cs="Calibri"/>
                <w:kern w:val="0"/>
                <w14:ligatures w14:val="none"/>
              </w:rPr>
              <w:t>seek affordable and more reliable electricity.  California has done serious harm to the costs of living and costs of doing business through its energy policies.  In this instance, those policies have served to once again force others to live with the consequences of its decisions.</w:t>
            </w:r>
            <w:r w:rsidR="00170C2B" w:rsidRPr="00B53CA4">
              <w:rPr>
                <w:rFonts w:ascii="Calibri" w:eastAsia="Times New Roman" w:hAnsi="Calibri" w:cs="Calibri"/>
                <w:kern w:val="0"/>
                <w14:ligatures w14:val="none"/>
              </w:rPr>
              <w:t xml:space="preserve"> </w:t>
            </w:r>
          </w:p>
          <w:p w14:paraId="6C97EF13" w14:textId="77777777" w:rsidR="002C205D" w:rsidRPr="00B53CA4" w:rsidRDefault="002C205D" w:rsidP="00082E66">
            <w:pPr>
              <w:rPr>
                <w:rFonts w:ascii="Calibri" w:eastAsia="Times New Roman" w:hAnsi="Calibri" w:cs="Calibri"/>
                <w:kern w:val="0"/>
                <w14:ligatures w14:val="none"/>
              </w:rPr>
            </w:pPr>
          </w:p>
          <w:p w14:paraId="090B820A" w14:textId="77777777" w:rsidR="002C205D" w:rsidRPr="00B53CA4" w:rsidRDefault="002C205D" w:rsidP="00082E66">
            <w:pPr>
              <w:rPr>
                <w:rFonts w:ascii="Calibri" w:eastAsia="Times New Roman" w:hAnsi="Calibri" w:cs="Calibri"/>
                <w:kern w:val="0"/>
                <w14:ligatures w14:val="none"/>
              </w:rPr>
            </w:pPr>
          </w:p>
          <w:p w14:paraId="00E097F0" w14:textId="35B834AE" w:rsidR="00BE20CC" w:rsidRPr="00B53CA4" w:rsidRDefault="00BE20CC" w:rsidP="00BE2A03">
            <w:pPr>
              <w:rPr>
                <w:rFonts w:ascii="Calibri" w:eastAsia="Times New Roman" w:hAnsi="Calibri" w:cs="Calibri"/>
                <w:kern w:val="0"/>
                <w14:ligatures w14:val="none"/>
              </w:rPr>
            </w:pPr>
          </w:p>
        </w:tc>
      </w:tr>
      <w:tr w:rsidR="00082E66" w:rsidRPr="00B53CA4" w14:paraId="1F70FD1E" w14:textId="77777777" w:rsidTr="00BE2A03">
        <w:trPr>
          <w:trHeight w:val="57"/>
        </w:trPr>
        <w:tc>
          <w:tcPr>
            <w:tcW w:w="1114" w:type="pct"/>
            <w:tcBorders>
              <w:top w:val="nil"/>
              <w:left w:val="nil"/>
              <w:bottom w:val="nil"/>
              <w:right w:val="nil"/>
            </w:tcBorders>
            <w:vAlign w:val="bottom"/>
            <w:hideMark/>
          </w:tcPr>
          <w:p w14:paraId="7263A56A" w14:textId="77777777" w:rsidR="00082E66" w:rsidRPr="00B53CA4" w:rsidRDefault="00082E66" w:rsidP="00082E66">
            <w:pPr>
              <w:rPr>
                <w:rFonts w:ascii="Times New Roman" w:eastAsia="Times New Roman" w:hAnsi="Times New Roman" w:cs="Times New Roman"/>
                <w:kern w:val="0"/>
                <w:sz w:val="20"/>
                <w:szCs w:val="20"/>
                <w14:ligatures w14:val="none"/>
              </w:rPr>
            </w:pPr>
          </w:p>
        </w:tc>
        <w:tc>
          <w:tcPr>
            <w:tcW w:w="2462" w:type="pct"/>
            <w:tcBorders>
              <w:top w:val="nil"/>
              <w:left w:val="nil"/>
              <w:bottom w:val="nil"/>
              <w:right w:val="nil"/>
            </w:tcBorders>
            <w:noWrap/>
            <w:vAlign w:val="bottom"/>
            <w:hideMark/>
          </w:tcPr>
          <w:p w14:paraId="73CDBDFA" w14:textId="77777777" w:rsidR="00082E66" w:rsidRPr="00B53CA4"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36FE245F" w14:textId="77777777" w:rsidR="00082E66" w:rsidRPr="00B53CA4"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4EC6106D" w14:textId="77777777" w:rsidR="00082E66" w:rsidRPr="00B53CA4" w:rsidRDefault="00082E66" w:rsidP="00082E66">
            <w:pPr>
              <w:rPr>
                <w:rFonts w:ascii="Times New Roman" w:eastAsia="Times New Roman" w:hAnsi="Times New Roman" w:cs="Times New Roman"/>
                <w:kern w:val="0"/>
                <w:sz w:val="20"/>
                <w:szCs w:val="20"/>
                <w14:ligatures w14:val="none"/>
              </w:rPr>
            </w:pPr>
          </w:p>
        </w:tc>
      </w:tr>
      <w:tr w:rsidR="00082E66" w:rsidRPr="00082E66" w14:paraId="5C2BF933" w14:textId="77777777" w:rsidTr="00E06415">
        <w:trPr>
          <w:trHeight w:val="465"/>
        </w:trPr>
        <w:tc>
          <w:tcPr>
            <w:tcW w:w="5000" w:type="pct"/>
            <w:gridSpan w:val="4"/>
            <w:tcBorders>
              <w:top w:val="nil"/>
              <w:left w:val="nil"/>
              <w:bottom w:val="nil"/>
              <w:right w:val="nil"/>
            </w:tcBorders>
            <w:vAlign w:val="bottom"/>
            <w:hideMark/>
          </w:tcPr>
          <w:p w14:paraId="4CAB215E" w14:textId="77777777" w:rsidR="00082E66" w:rsidRPr="00082E66" w:rsidRDefault="00082E66" w:rsidP="00082E66">
            <w:pPr>
              <w:rPr>
                <w:rFonts w:ascii="Calibri" w:eastAsia="Times New Roman" w:hAnsi="Calibri" w:cs="Calibri"/>
                <w:b/>
                <w:bCs/>
                <w:color w:val="000000"/>
                <w:kern w:val="0"/>
                <w:sz w:val="36"/>
                <w:szCs w:val="36"/>
                <w14:ligatures w14:val="none"/>
              </w:rPr>
            </w:pPr>
            <w:r w:rsidRPr="00082E66">
              <w:rPr>
                <w:rFonts w:ascii="Calibri" w:eastAsia="Times New Roman" w:hAnsi="Calibri" w:cs="Calibri"/>
                <w:b/>
                <w:bCs/>
                <w:color w:val="000000"/>
                <w:kern w:val="0"/>
                <w:sz w:val="36"/>
                <w:szCs w:val="36"/>
                <w14:ligatures w14:val="none"/>
              </w:rPr>
              <w:t>Inflation</w:t>
            </w:r>
          </w:p>
        </w:tc>
      </w:tr>
      <w:tr w:rsidR="00082E66" w:rsidRPr="00082E66" w14:paraId="3E4C9598" w14:textId="77777777" w:rsidTr="00E05C17">
        <w:trPr>
          <w:trHeight w:val="705"/>
        </w:trPr>
        <w:tc>
          <w:tcPr>
            <w:tcW w:w="1114" w:type="pct"/>
            <w:tcBorders>
              <w:top w:val="nil"/>
              <w:left w:val="nil"/>
              <w:bottom w:val="nil"/>
              <w:right w:val="nil"/>
            </w:tcBorders>
            <w:vAlign w:val="bottom"/>
            <w:hideMark/>
          </w:tcPr>
          <w:p w14:paraId="1E040281" w14:textId="1A909F44" w:rsidR="00082E66" w:rsidRPr="00082E66" w:rsidRDefault="00205693" w:rsidP="00082E66">
            <w:pPr>
              <w:jc w:val="center"/>
              <w:rPr>
                <w:rFonts w:ascii="Calibri" w:eastAsia="Times New Roman" w:hAnsi="Calibri" w:cs="Calibri"/>
                <w:b/>
                <w:bCs/>
                <w:color w:val="FF0000"/>
                <w:kern w:val="0"/>
                <w:sz w:val="63"/>
                <w:szCs w:val="63"/>
                <w14:ligatures w14:val="none"/>
              </w:rPr>
            </w:pPr>
            <w:r>
              <w:rPr>
                <w:rFonts w:ascii="Calibri" w:eastAsia="Times New Roman" w:hAnsi="Calibri" w:cs="Calibri"/>
                <w:b/>
                <w:bCs/>
                <w:color w:val="FF0000"/>
                <w:kern w:val="0"/>
                <w:sz w:val="63"/>
                <w:szCs w:val="63"/>
                <w14:ligatures w14:val="none"/>
              </w:rPr>
              <w:t>n/</w:t>
            </w:r>
            <w:r w:rsidR="00BE2A03">
              <w:rPr>
                <w:rFonts w:ascii="Calibri" w:eastAsia="Times New Roman" w:hAnsi="Calibri" w:cs="Calibri"/>
                <w:b/>
                <w:bCs/>
                <w:color w:val="FF0000"/>
                <w:kern w:val="0"/>
                <w:sz w:val="63"/>
                <w:szCs w:val="63"/>
                <w14:ligatures w14:val="none"/>
              </w:rPr>
              <w:t>a</w:t>
            </w:r>
          </w:p>
        </w:tc>
        <w:tc>
          <w:tcPr>
            <w:tcW w:w="3886" w:type="pct"/>
            <w:gridSpan w:val="3"/>
            <w:vMerge w:val="restart"/>
            <w:tcBorders>
              <w:top w:val="nil"/>
              <w:left w:val="nil"/>
              <w:bottom w:val="nil"/>
              <w:right w:val="nil"/>
            </w:tcBorders>
            <w:vAlign w:val="center"/>
            <w:hideMark/>
          </w:tcPr>
          <w:p w14:paraId="1AE0D4B3" w14:textId="2CAA385B" w:rsidR="00082E66" w:rsidRPr="00082E66" w:rsidRDefault="00205693" w:rsidP="00082E66">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Due to the federal budget impasse, data for the CPI was not collected in October, affecting the calculations for the September California CPI.  This data will be updated as the federal data continues to resume.</w:t>
            </w:r>
          </w:p>
        </w:tc>
      </w:tr>
      <w:tr w:rsidR="00082E66" w:rsidRPr="00082E66" w14:paraId="76521620" w14:textId="77777777" w:rsidTr="00E05C17">
        <w:trPr>
          <w:trHeight w:val="810"/>
        </w:trPr>
        <w:tc>
          <w:tcPr>
            <w:tcW w:w="1114" w:type="pct"/>
            <w:tcBorders>
              <w:top w:val="nil"/>
              <w:left w:val="nil"/>
              <w:bottom w:val="nil"/>
              <w:right w:val="nil"/>
            </w:tcBorders>
            <w:vAlign w:val="bottom"/>
            <w:hideMark/>
          </w:tcPr>
          <w:p w14:paraId="1B13B566" w14:textId="26BD8377" w:rsidR="00082E66" w:rsidRPr="00082E66" w:rsidRDefault="00082E66" w:rsidP="00082E66">
            <w:pPr>
              <w:jc w:val="cente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 xml:space="preserve">Increase Since </w:t>
            </w:r>
            <w:r w:rsidR="00BE2A03">
              <w:rPr>
                <w:rFonts w:ascii="Calibri" w:eastAsia="Times New Roman" w:hAnsi="Calibri" w:cs="Calibri"/>
                <w:color w:val="000000"/>
                <w:kern w:val="0"/>
                <w14:ligatures w14:val="none"/>
              </w:rPr>
              <w:t>August 2025</w:t>
            </w:r>
          </w:p>
        </w:tc>
        <w:tc>
          <w:tcPr>
            <w:tcW w:w="3886" w:type="pct"/>
            <w:gridSpan w:val="3"/>
            <w:vMerge/>
            <w:tcBorders>
              <w:top w:val="nil"/>
              <w:left w:val="nil"/>
              <w:bottom w:val="nil"/>
              <w:right w:val="nil"/>
            </w:tcBorders>
            <w:vAlign w:val="center"/>
            <w:hideMark/>
          </w:tcPr>
          <w:p w14:paraId="5E22C0FA" w14:textId="77777777" w:rsidR="00082E66" w:rsidRPr="00082E66" w:rsidRDefault="00082E66" w:rsidP="00082E66">
            <w:pPr>
              <w:rPr>
                <w:rFonts w:ascii="Calibri" w:eastAsia="Times New Roman" w:hAnsi="Calibri" w:cs="Calibri"/>
                <w:color w:val="000000"/>
                <w:kern w:val="0"/>
                <w14:ligatures w14:val="none"/>
              </w:rPr>
            </w:pPr>
          </w:p>
        </w:tc>
      </w:tr>
      <w:tr w:rsidR="00082E66" w:rsidRPr="00082E66" w14:paraId="0FEAA194" w14:textId="77777777" w:rsidTr="00E05C17">
        <w:trPr>
          <w:trHeight w:val="300"/>
        </w:trPr>
        <w:tc>
          <w:tcPr>
            <w:tcW w:w="1114" w:type="pct"/>
            <w:tcBorders>
              <w:top w:val="nil"/>
              <w:left w:val="nil"/>
              <w:bottom w:val="nil"/>
              <w:right w:val="nil"/>
            </w:tcBorders>
            <w:vAlign w:val="bottom"/>
            <w:hideMark/>
          </w:tcPr>
          <w:p w14:paraId="4627CBA0" w14:textId="77777777" w:rsidR="00082E66" w:rsidRPr="00082E66" w:rsidRDefault="00082E66" w:rsidP="00082E66">
            <w:pPr>
              <w:jc w:val="center"/>
              <w:rPr>
                <w:rFonts w:ascii="Calibri" w:eastAsia="Times New Roman" w:hAnsi="Calibri" w:cs="Calibri"/>
                <w:color w:val="000000"/>
                <w:kern w:val="0"/>
                <w14:ligatures w14:val="none"/>
              </w:rPr>
            </w:pPr>
          </w:p>
        </w:tc>
        <w:tc>
          <w:tcPr>
            <w:tcW w:w="2462" w:type="pct"/>
            <w:tcBorders>
              <w:top w:val="nil"/>
              <w:left w:val="nil"/>
              <w:bottom w:val="nil"/>
              <w:right w:val="nil"/>
            </w:tcBorders>
            <w:noWrap/>
            <w:vAlign w:val="bottom"/>
            <w:hideMark/>
          </w:tcPr>
          <w:p w14:paraId="7FBB98A8"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noWrap/>
            <w:vAlign w:val="bottom"/>
            <w:hideMark/>
          </w:tcPr>
          <w:p w14:paraId="5ADC5592"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51CBBBA6"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39A23294" w14:textId="77777777" w:rsidTr="00E05C17">
        <w:trPr>
          <w:trHeight w:val="300"/>
        </w:trPr>
        <w:tc>
          <w:tcPr>
            <w:tcW w:w="1114" w:type="pct"/>
            <w:tcBorders>
              <w:top w:val="nil"/>
              <w:left w:val="nil"/>
              <w:bottom w:val="nil"/>
              <w:right w:val="nil"/>
            </w:tcBorders>
            <w:vAlign w:val="bottom"/>
            <w:hideMark/>
          </w:tcPr>
          <w:p w14:paraId="37456F2D"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2462" w:type="pct"/>
            <w:tcBorders>
              <w:top w:val="nil"/>
              <w:left w:val="nil"/>
              <w:bottom w:val="nil"/>
              <w:right w:val="nil"/>
            </w:tcBorders>
            <w:noWrap/>
            <w:vAlign w:val="bottom"/>
            <w:hideMark/>
          </w:tcPr>
          <w:p w14:paraId="7DC6E4F7"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noWrap/>
            <w:vAlign w:val="bottom"/>
            <w:hideMark/>
          </w:tcPr>
          <w:p w14:paraId="524ACCD8"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1AA150B7"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77FF8F68" w14:textId="77777777" w:rsidTr="00E06415">
        <w:trPr>
          <w:trHeight w:val="630"/>
        </w:trPr>
        <w:tc>
          <w:tcPr>
            <w:tcW w:w="5000" w:type="pct"/>
            <w:gridSpan w:val="4"/>
            <w:tcBorders>
              <w:top w:val="nil"/>
              <w:left w:val="nil"/>
              <w:bottom w:val="nil"/>
              <w:right w:val="nil"/>
            </w:tcBorders>
            <w:vAlign w:val="center"/>
            <w:hideMark/>
          </w:tcPr>
          <w:p w14:paraId="1E7B3727" w14:textId="77777777" w:rsidR="00082E66" w:rsidRPr="00082E66" w:rsidRDefault="00082E66" w:rsidP="00082E66">
            <w:pPr>
              <w:rPr>
                <w:rFonts w:ascii="Georgia" w:eastAsia="Times New Roman" w:hAnsi="Georgia" w:cs="Calibri"/>
                <w:b/>
                <w:bCs/>
                <w:color w:val="000000"/>
                <w:kern w:val="0"/>
                <w:sz w:val="36"/>
                <w:szCs w:val="36"/>
                <w14:ligatures w14:val="none"/>
              </w:rPr>
            </w:pPr>
            <w:r w:rsidRPr="00082E66">
              <w:rPr>
                <w:rFonts w:ascii="Georgia" w:eastAsia="Times New Roman" w:hAnsi="Georgia" w:cs="Calibri"/>
                <w:b/>
                <w:bCs/>
                <w:color w:val="000000"/>
                <w:kern w:val="0"/>
                <w:sz w:val="36"/>
                <w:szCs w:val="36"/>
                <w14:ligatures w14:val="none"/>
              </w:rPr>
              <w:t>California vs. Rest of US Fuel Price Gap at 57.1% Premium</w:t>
            </w:r>
          </w:p>
        </w:tc>
      </w:tr>
      <w:tr w:rsidR="00082E66" w:rsidRPr="00082E66" w14:paraId="1EFBAC04" w14:textId="77777777" w:rsidTr="00E05C17">
        <w:trPr>
          <w:trHeight w:val="300"/>
        </w:trPr>
        <w:tc>
          <w:tcPr>
            <w:tcW w:w="1114" w:type="pct"/>
            <w:tcBorders>
              <w:top w:val="nil"/>
              <w:left w:val="nil"/>
              <w:bottom w:val="nil"/>
              <w:right w:val="nil"/>
            </w:tcBorders>
            <w:vAlign w:val="bottom"/>
            <w:hideMark/>
          </w:tcPr>
          <w:p w14:paraId="222D8A7C" w14:textId="77777777" w:rsidR="00082E66" w:rsidRPr="00082E66" w:rsidRDefault="00082E66" w:rsidP="00082E66">
            <w:pPr>
              <w:rPr>
                <w:rFonts w:ascii="Georgia" w:eastAsia="Times New Roman" w:hAnsi="Georgia" w:cs="Calibri"/>
                <w:b/>
                <w:bCs/>
                <w:color w:val="000000"/>
                <w:kern w:val="0"/>
                <w:sz w:val="36"/>
                <w:szCs w:val="36"/>
                <w14:ligatures w14:val="none"/>
              </w:rPr>
            </w:pPr>
          </w:p>
        </w:tc>
        <w:tc>
          <w:tcPr>
            <w:tcW w:w="2462" w:type="pct"/>
            <w:tcBorders>
              <w:top w:val="nil"/>
              <w:left w:val="nil"/>
              <w:bottom w:val="nil"/>
              <w:right w:val="nil"/>
            </w:tcBorders>
            <w:vAlign w:val="bottom"/>
            <w:hideMark/>
          </w:tcPr>
          <w:p w14:paraId="48267AB5"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073E4C6C"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7C067677"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674070B1" w14:textId="77777777" w:rsidTr="00E05C17">
        <w:trPr>
          <w:trHeight w:val="810"/>
        </w:trPr>
        <w:tc>
          <w:tcPr>
            <w:tcW w:w="1114" w:type="pct"/>
            <w:tcBorders>
              <w:top w:val="nil"/>
              <w:left w:val="nil"/>
              <w:bottom w:val="nil"/>
              <w:right w:val="nil"/>
            </w:tcBorders>
            <w:vAlign w:val="bottom"/>
            <w:hideMark/>
          </w:tcPr>
          <w:p w14:paraId="3802E7CD" w14:textId="77777777" w:rsidR="00082E66" w:rsidRPr="00082E66" w:rsidRDefault="00082E66" w:rsidP="00082E66">
            <w:pPr>
              <w:jc w:val="center"/>
              <w:rPr>
                <w:rFonts w:ascii="Calibri" w:eastAsia="Times New Roman" w:hAnsi="Calibri" w:cs="Calibri"/>
                <w:b/>
                <w:bCs/>
                <w:color w:val="FF0000"/>
                <w:kern w:val="0"/>
                <w:sz w:val="63"/>
                <w:szCs w:val="63"/>
                <w14:ligatures w14:val="none"/>
              </w:rPr>
            </w:pPr>
            <w:r w:rsidRPr="00082E66">
              <w:rPr>
                <w:rFonts w:ascii="Calibri" w:eastAsia="Times New Roman" w:hAnsi="Calibri" w:cs="Calibri"/>
                <w:b/>
                <w:bCs/>
                <w:color w:val="0F9ED5" w:themeColor="accent4"/>
                <w:kern w:val="0"/>
                <w:sz w:val="63"/>
                <w:szCs w:val="63"/>
                <w14:ligatures w14:val="none"/>
              </w:rPr>
              <w:t>$1.58</w:t>
            </w:r>
          </w:p>
        </w:tc>
        <w:tc>
          <w:tcPr>
            <w:tcW w:w="3886" w:type="pct"/>
            <w:gridSpan w:val="3"/>
            <w:vMerge w:val="restart"/>
            <w:tcBorders>
              <w:top w:val="nil"/>
              <w:left w:val="nil"/>
              <w:bottom w:val="nil"/>
              <w:right w:val="nil"/>
            </w:tcBorders>
            <w:vAlign w:val="center"/>
            <w:hideMark/>
          </w:tcPr>
          <w:p w14:paraId="62836ED9"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The December average price per gallon of regular gasoline in California eased 29 cents from  November to $4.34.  The California regulatory and tax premium above the average for the US other than California ($2.76) eased to $1.58, a 57.1% difference.</w:t>
            </w:r>
          </w:p>
        </w:tc>
      </w:tr>
      <w:tr w:rsidR="00082E66" w:rsidRPr="00082E66" w14:paraId="47D66ECB" w14:textId="77777777" w:rsidTr="00E05C17">
        <w:trPr>
          <w:trHeight w:val="900"/>
        </w:trPr>
        <w:tc>
          <w:tcPr>
            <w:tcW w:w="1114" w:type="pct"/>
            <w:tcBorders>
              <w:top w:val="nil"/>
              <w:left w:val="nil"/>
              <w:bottom w:val="nil"/>
              <w:right w:val="nil"/>
            </w:tcBorders>
            <w:vAlign w:val="bottom"/>
            <w:hideMark/>
          </w:tcPr>
          <w:p w14:paraId="2E302BCA" w14:textId="77777777" w:rsidR="00082E66" w:rsidRPr="00082E66" w:rsidRDefault="00082E66" w:rsidP="00082E66">
            <w:pPr>
              <w:jc w:val="cente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Price Per Gallon</w:t>
            </w:r>
            <w:r w:rsidRPr="00082E66">
              <w:rPr>
                <w:rFonts w:ascii="Calibri" w:eastAsia="Times New Roman" w:hAnsi="Calibri" w:cs="Calibri"/>
                <w:color w:val="000000"/>
                <w:kern w:val="0"/>
                <w14:ligatures w14:val="none"/>
              </w:rPr>
              <w:br/>
              <w:t>Above Other States</w:t>
            </w:r>
            <w:r w:rsidRPr="00082E66">
              <w:rPr>
                <w:rFonts w:ascii="Calibri" w:eastAsia="Times New Roman" w:hAnsi="Calibri" w:cs="Calibri"/>
                <w:color w:val="000000"/>
                <w:kern w:val="0"/>
                <w14:ligatures w14:val="none"/>
              </w:rPr>
              <w:br/>
              <w:t xml:space="preserve">(CA Average) </w:t>
            </w:r>
          </w:p>
        </w:tc>
        <w:tc>
          <w:tcPr>
            <w:tcW w:w="3886" w:type="pct"/>
            <w:gridSpan w:val="3"/>
            <w:vMerge/>
            <w:tcBorders>
              <w:top w:val="nil"/>
              <w:left w:val="nil"/>
              <w:bottom w:val="nil"/>
              <w:right w:val="nil"/>
            </w:tcBorders>
            <w:vAlign w:val="center"/>
            <w:hideMark/>
          </w:tcPr>
          <w:p w14:paraId="090CB708" w14:textId="77777777" w:rsidR="00082E66" w:rsidRPr="00082E66" w:rsidRDefault="00082E66" w:rsidP="00082E66">
            <w:pPr>
              <w:rPr>
                <w:rFonts w:ascii="Calibri" w:eastAsia="Times New Roman" w:hAnsi="Calibri" w:cs="Calibri"/>
                <w:color w:val="000000"/>
                <w:kern w:val="0"/>
                <w14:ligatures w14:val="none"/>
              </w:rPr>
            </w:pPr>
          </w:p>
        </w:tc>
      </w:tr>
      <w:tr w:rsidR="00082E66" w:rsidRPr="00082E66" w14:paraId="0074DCFD" w14:textId="77777777" w:rsidTr="00E05C17">
        <w:trPr>
          <w:trHeight w:val="300"/>
        </w:trPr>
        <w:tc>
          <w:tcPr>
            <w:tcW w:w="1114" w:type="pct"/>
            <w:tcBorders>
              <w:top w:val="nil"/>
              <w:left w:val="nil"/>
              <w:bottom w:val="nil"/>
              <w:right w:val="nil"/>
            </w:tcBorders>
            <w:vAlign w:val="bottom"/>
            <w:hideMark/>
          </w:tcPr>
          <w:p w14:paraId="08654721" w14:textId="77777777" w:rsidR="00082E66" w:rsidRPr="00082E66" w:rsidRDefault="00082E66" w:rsidP="00082E66">
            <w:pPr>
              <w:jc w:val="center"/>
              <w:rPr>
                <w:rFonts w:ascii="Calibri" w:eastAsia="Times New Roman" w:hAnsi="Calibri" w:cs="Calibri"/>
                <w:color w:val="000000"/>
                <w:kern w:val="0"/>
                <w14:ligatures w14:val="none"/>
              </w:rPr>
            </w:pPr>
          </w:p>
        </w:tc>
        <w:tc>
          <w:tcPr>
            <w:tcW w:w="2462" w:type="pct"/>
            <w:tcBorders>
              <w:top w:val="nil"/>
              <w:left w:val="nil"/>
              <w:bottom w:val="nil"/>
              <w:right w:val="nil"/>
            </w:tcBorders>
            <w:noWrap/>
            <w:vAlign w:val="bottom"/>
            <w:hideMark/>
          </w:tcPr>
          <w:p w14:paraId="30666740"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6393C6CF"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373ED4C2"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400F6C5F" w14:textId="77777777" w:rsidTr="00E05C17">
        <w:trPr>
          <w:trHeight w:val="780"/>
        </w:trPr>
        <w:tc>
          <w:tcPr>
            <w:tcW w:w="1114" w:type="pct"/>
            <w:tcBorders>
              <w:top w:val="nil"/>
              <w:left w:val="nil"/>
              <w:bottom w:val="nil"/>
              <w:right w:val="nil"/>
            </w:tcBorders>
            <w:vAlign w:val="bottom"/>
            <w:hideMark/>
          </w:tcPr>
          <w:p w14:paraId="1E4E8677" w14:textId="77777777" w:rsidR="00082E66" w:rsidRPr="00082E66" w:rsidRDefault="00082E66" w:rsidP="00082E66">
            <w:pPr>
              <w:jc w:val="center"/>
              <w:rPr>
                <w:rFonts w:ascii="Calibri" w:eastAsia="Times New Roman" w:hAnsi="Calibri" w:cs="Calibri"/>
                <w:b/>
                <w:bCs/>
                <w:color w:val="FF0000"/>
                <w:kern w:val="0"/>
                <w:sz w:val="63"/>
                <w:szCs w:val="63"/>
                <w14:ligatures w14:val="none"/>
              </w:rPr>
            </w:pPr>
            <w:r w:rsidRPr="00082E66">
              <w:rPr>
                <w:rFonts w:ascii="Calibri" w:eastAsia="Times New Roman" w:hAnsi="Calibri" w:cs="Calibri"/>
                <w:b/>
                <w:bCs/>
                <w:color w:val="FF0000"/>
                <w:kern w:val="0"/>
                <w:sz w:val="63"/>
                <w:szCs w:val="63"/>
                <w14:ligatures w14:val="none"/>
              </w:rPr>
              <w:t>1st</w:t>
            </w:r>
          </w:p>
        </w:tc>
        <w:tc>
          <w:tcPr>
            <w:tcW w:w="3886" w:type="pct"/>
            <w:gridSpan w:val="3"/>
            <w:vMerge w:val="restart"/>
            <w:tcBorders>
              <w:top w:val="nil"/>
              <w:left w:val="nil"/>
              <w:bottom w:val="nil"/>
              <w:right w:val="nil"/>
            </w:tcBorders>
            <w:vAlign w:val="center"/>
            <w:hideMark/>
          </w:tcPr>
          <w:p w14:paraId="458951AE"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In December, California had the highest gasoline price among the contiguous states and DC.  Californians paid $2.05 a gallon more than consumers in Oklahoma, the state with the lowest price.</w:t>
            </w:r>
          </w:p>
        </w:tc>
      </w:tr>
      <w:tr w:rsidR="00082E66" w:rsidRPr="00082E66" w14:paraId="18CA8A7D" w14:textId="77777777" w:rsidTr="00E05C17">
        <w:trPr>
          <w:trHeight w:val="600"/>
        </w:trPr>
        <w:tc>
          <w:tcPr>
            <w:tcW w:w="1114" w:type="pct"/>
            <w:tcBorders>
              <w:top w:val="nil"/>
              <w:left w:val="nil"/>
              <w:bottom w:val="nil"/>
              <w:right w:val="nil"/>
            </w:tcBorders>
            <w:vAlign w:val="bottom"/>
            <w:hideMark/>
          </w:tcPr>
          <w:p w14:paraId="2ABD46BD" w14:textId="77777777" w:rsidR="00082E66" w:rsidRPr="00082E66" w:rsidRDefault="00082E66" w:rsidP="00082E66">
            <w:pPr>
              <w:jc w:val="cente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 xml:space="preserve">Ranked by </w:t>
            </w:r>
            <w:r w:rsidRPr="00082E66">
              <w:rPr>
                <w:rFonts w:ascii="Calibri" w:eastAsia="Times New Roman" w:hAnsi="Calibri" w:cs="Calibri"/>
                <w:color w:val="000000"/>
                <w:kern w:val="0"/>
                <w14:ligatures w14:val="none"/>
              </w:rPr>
              <w:br/>
              <w:t>price</w:t>
            </w:r>
          </w:p>
        </w:tc>
        <w:tc>
          <w:tcPr>
            <w:tcW w:w="3886" w:type="pct"/>
            <w:gridSpan w:val="3"/>
            <w:vMerge/>
            <w:tcBorders>
              <w:top w:val="nil"/>
              <w:left w:val="nil"/>
              <w:bottom w:val="nil"/>
              <w:right w:val="nil"/>
            </w:tcBorders>
            <w:vAlign w:val="center"/>
            <w:hideMark/>
          </w:tcPr>
          <w:p w14:paraId="3A4F8C6A" w14:textId="77777777" w:rsidR="00082E66" w:rsidRPr="00082E66" w:rsidRDefault="00082E66" w:rsidP="00082E66">
            <w:pPr>
              <w:rPr>
                <w:rFonts w:ascii="Calibri" w:eastAsia="Times New Roman" w:hAnsi="Calibri" w:cs="Calibri"/>
                <w:color w:val="000000"/>
                <w:kern w:val="0"/>
                <w14:ligatures w14:val="none"/>
              </w:rPr>
            </w:pPr>
          </w:p>
        </w:tc>
      </w:tr>
      <w:tr w:rsidR="00082E66" w:rsidRPr="00082E66" w14:paraId="6C6401DB" w14:textId="77777777" w:rsidTr="00E05C17">
        <w:trPr>
          <w:trHeight w:val="330"/>
        </w:trPr>
        <w:tc>
          <w:tcPr>
            <w:tcW w:w="1114" w:type="pct"/>
            <w:tcBorders>
              <w:top w:val="nil"/>
              <w:left w:val="nil"/>
              <w:bottom w:val="nil"/>
              <w:right w:val="nil"/>
            </w:tcBorders>
            <w:vAlign w:val="bottom"/>
            <w:hideMark/>
          </w:tcPr>
          <w:p w14:paraId="2D2F97EE" w14:textId="77777777" w:rsidR="00082E66" w:rsidRPr="00082E66" w:rsidRDefault="00082E66" w:rsidP="00082E66">
            <w:pPr>
              <w:jc w:val="center"/>
              <w:rPr>
                <w:rFonts w:ascii="Calibri" w:eastAsia="Times New Roman" w:hAnsi="Calibri" w:cs="Calibri"/>
                <w:color w:val="000000"/>
                <w:kern w:val="0"/>
                <w14:ligatures w14:val="none"/>
              </w:rPr>
            </w:pPr>
          </w:p>
        </w:tc>
        <w:tc>
          <w:tcPr>
            <w:tcW w:w="2462" w:type="pct"/>
            <w:tcBorders>
              <w:top w:val="nil"/>
              <w:left w:val="nil"/>
              <w:bottom w:val="nil"/>
              <w:right w:val="nil"/>
            </w:tcBorders>
            <w:vAlign w:val="bottom"/>
            <w:hideMark/>
          </w:tcPr>
          <w:p w14:paraId="15E459FC"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745CC7D3"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266ADB18"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734B00DC" w14:textId="77777777" w:rsidTr="00E06415">
        <w:trPr>
          <w:trHeight w:val="615"/>
        </w:trPr>
        <w:tc>
          <w:tcPr>
            <w:tcW w:w="5000" w:type="pct"/>
            <w:gridSpan w:val="4"/>
            <w:tcBorders>
              <w:top w:val="nil"/>
              <w:left w:val="nil"/>
              <w:bottom w:val="nil"/>
              <w:right w:val="nil"/>
            </w:tcBorders>
            <w:vAlign w:val="center"/>
            <w:hideMark/>
          </w:tcPr>
          <w:p w14:paraId="53A81C1A" w14:textId="77777777" w:rsidR="00082E66" w:rsidRPr="00082E66" w:rsidRDefault="00082E66" w:rsidP="00082E66">
            <w:pPr>
              <w:rPr>
                <w:rFonts w:ascii="Georgia" w:eastAsia="Times New Roman" w:hAnsi="Georgia" w:cs="Calibri"/>
                <w:b/>
                <w:bCs/>
                <w:color w:val="000000"/>
                <w:kern w:val="0"/>
                <w:sz w:val="36"/>
                <w:szCs w:val="36"/>
                <w14:ligatures w14:val="none"/>
              </w:rPr>
            </w:pPr>
            <w:r w:rsidRPr="00082E66">
              <w:rPr>
                <w:rFonts w:ascii="Georgia" w:eastAsia="Times New Roman" w:hAnsi="Georgia" w:cs="Calibri"/>
                <w:b/>
                <w:bCs/>
                <w:color w:val="000000"/>
                <w:kern w:val="0"/>
                <w:sz w:val="36"/>
                <w:szCs w:val="36"/>
                <w14:ligatures w14:val="none"/>
              </w:rPr>
              <w:t>California Gasoline Taxes &amp; Fees</w:t>
            </w:r>
          </w:p>
        </w:tc>
      </w:tr>
      <w:tr w:rsidR="00082E66" w:rsidRPr="00082E66" w14:paraId="2D7FD62A" w14:textId="77777777" w:rsidTr="00E05C17">
        <w:trPr>
          <w:trHeight w:val="900"/>
        </w:trPr>
        <w:tc>
          <w:tcPr>
            <w:tcW w:w="1114" w:type="pct"/>
            <w:tcBorders>
              <w:top w:val="nil"/>
              <w:left w:val="nil"/>
              <w:bottom w:val="nil"/>
              <w:right w:val="nil"/>
            </w:tcBorders>
            <w:vAlign w:val="bottom"/>
            <w:hideMark/>
          </w:tcPr>
          <w:p w14:paraId="1F6CFBF3" w14:textId="77777777" w:rsidR="00082E66" w:rsidRPr="00082E66" w:rsidRDefault="00082E66" w:rsidP="00082E66">
            <w:pPr>
              <w:jc w:val="center"/>
              <w:rPr>
                <w:rFonts w:ascii="Calibri" w:eastAsia="Times New Roman" w:hAnsi="Calibri" w:cs="Calibri"/>
                <w:b/>
                <w:bCs/>
                <w:color w:val="FF0000"/>
                <w:kern w:val="0"/>
                <w:sz w:val="63"/>
                <w:szCs w:val="63"/>
                <w14:ligatures w14:val="none"/>
              </w:rPr>
            </w:pPr>
            <w:r w:rsidRPr="00082E66">
              <w:rPr>
                <w:rFonts w:ascii="Calibri" w:eastAsia="Times New Roman" w:hAnsi="Calibri" w:cs="Calibri"/>
                <w:b/>
                <w:bCs/>
                <w:color w:val="0F9ED5" w:themeColor="accent4"/>
                <w:kern w:val="0"/>
                <w:sz w:val="63"/>
                <w:szCs w:val="63"/>
                <w14:ligatures w14:val="none"/>
              </w:rPr>
              <w:t>$1.42</w:t>
            </w:r>
            <w:r w:rsidRPr="00082E66">
              <w:rPr>
                <w:rFonts w:ascii="Calibri" w:eastAsia="Times New Roman" w:hAnsi="Calibri" w:cs="Calibri"/>
                <w:b/>
                <w:bCs/>
                <w:color w:val="FF0000"/>
                <w:kern w:val="0"/>
                <w:sz w:val="63"/>
                <w:szCs w:val="63"/>
                <w14:ligatures w14:val="none"/>
              </w:rPr>
              <w:t xml:space="preserve"> </w:t>
            </w:r>
          </w:p>
        </w:tc>
        <w:tc>
          <w:tcPr>
            <w:tcW w:w="3886" w:type="pct"/>
            <w:gridSpan w:val="3"/>
            <w:vMerge w:val="restart"/>
            <w:tcBorders>
              <w:top w:val="nil"/>
              <w:left w:val="nil"/>
              <w:bottom w:val="nil"/>
              <w:right w:val="nil"/>
            </w:tcBorders>
            <w:vAlign w:val="center"/>
            <w:hideMark/>
          </w:tcPr>
          <w:p w14:paraId="330A4EDA" w14:textId="2FEE5582" w:rsidR="00082E66" w:rsidRPr="00082E66" w:rsidRDefault="00082E66" w:rsidP="00082E66">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As discussed in prior reports, the Energy Commission has not updated their fuel tax and fee calculations since March 2025, and in spite of arguing that they required the data to properly monitor fuel pricing through SB 1322 (2022), has not updated their fuel net margin analysis since March 2024.  I</w:t>
            </w:r>
            <w:r w:rsidRPr="00082E66">
              <w:rPr>
                <w:rFonts w:ascii="Calibri" w:eastAsia="Times New Roman" w:hAnsi="Calibri" w:cs="Calibri"/>
                <w:color w:val="000000"/>
                <w:kern w:val="0"/>
                <w14:ligatures w14:val="none"/>
              </w:rPr>
              <w:t xml:space="preserve">n the absence of current Energy Commission data, we </w:t>
            </w:r>
            <w:r>
              <w:rPr>
                <w:rFonts w:ascii="Calibri" w:eastAsia="Times New Roman" w:hAnsi="Calibri" w:cs="Calibri"/>
                <w:color w:val="000000"/>
                <w:kern w:val="0"/>
                <w14:ligatures w14:val="none"/>
              </w:rPr>
              <w:t>are making</w:t>
            </w:r>
            <w:r w:rsidRPr="00082E66">
              <w:rPr>
                <w:rFonts w:ascii="Calibri" w:eastAsia="Times New Roman" w:hAnsi="Calibri" w:cs="Calibri"/>
                <w:color w:val="000000"/>
                <w:kern w:val="0"/>
                <w14:ligatures w14:val="none"/>
              </w:rPr>
              <w:t xml:space="preserve"> our own estimates using the Commission factors and the new OPIS data. In December, $1.42 (32.</w:t>
            </w:r>
            <w:r>
              <w:rPr>
                <w:rFonts w:ascii="Calibri" w:eastAsia="Times New Roman" w:hAnsi="Calibri" w:cs="Calibri"/>
                <w:color w:val="000000"/>
                <w:kern w:val="0"/>
                <w14:ligatures w14:val="none"/>
              </w:rPr>
              <w:t>8</w:t>
            </w:r>
            <w:r w:rsidRPr="00082E66">
              <w:rPr>
                <w:rFonts w:ascii="Calibri" w:eastAsia="Times New Roman" w:hAnsi="Calibri" w:cs="Calibri"/>
                <w:color w:val="000000"/>
                <w:kern w:val="0"/>
                <w14:ligatures w14:val="none"/>
              </w:rPr>
              <w:t>%) of the price of a gallon of regular gasoline was paid to cover state, local, and federal taxes and fees.</w:t>
            </w:r>
          </w:p>
        </w:tc>
      </w:tr>
      <w:tr w:rsidR="00082E66" w:rsidRPr="00082E66" w14:paraId="3AD62D99" w14:textId="77777777" w:rsidTr="00E05C17">
        <w:trPr>
          <w:trHeight w:val="720"/>
        </w:trPr>
        <w:tc>
          <w:tcPr>
            <w:tcW w:w="1114" w:type="pct"/>
            <w:tcBorders>
              <w:top w:val="nil"/>
              <w:left w:val="nil"/>
              <w:bottom w:val="nil"/>
              <w:right w:val="nil"/>
            </w:tcBorders>
            <w:vAlign w:val="bottom"/>
            <w:hideMark/>
          </w:tcPr>
          <w:p w14:paraId="1C47E25A" w14:textId="77777777" w:rsidR="00082E66" w:rsidRPr="00082E66" w:rsidRDefault="00082E66" w:rsidP="00082E66">
            <w:pPr>
              <w:jc w:val="cente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Total Taxes &amp; Fees per Gallon of Gasoline</w:t>
            </w:r>
          </w:p>
        </w:tc>
        <w:tc>
          <w:tcPr>
            <w:tcW w:w="3886" w:type="pct"/>
            <w:gridSpan w:val="3"/>
            <w:vMerge/>
            <w:tcBorders>
              <w:top w:val="nil"/>
              <w:left w:val="nil"/>
              <w:bottom w:val="nil"/>
              <w:right w:val="nil"/>
            </w:tcBorders>
            <w:vAlign w:val="center"/>
            <w:hideMark/>
          </w:tcPr>
          <w:p w14:paraId="0CC3490D" w14:textId="77777777" w:rsidR="00082E66" w:rsidRPr="00082E66" w:rsidRDefault="00082E66" w:rsidP="00082E66">
            <w:pPr>
              <w:rPr>
                <w:rFonts w:ascii="Calibri" w:eastAsia="Times New Roman" w:hAnsi="Calibri" w:cs="Calibri"/>
                <w:color w:val="000000"/>
                <w:kern w:val="0"/>
                <w14:ligatures w14:val="none"/>
              </w:rPr>
            </w:pPr>
          </w:p>
        </w:tc>
      </w:tr>
      <w:tr w:rsidR="00082E66" w:rsidRPr="00082E66" w14:paraId="79CDC439" w14:textId="77777777" w:rsidTr="00E05C17">
        <w:trPr>
          <w:trHeight w:val="405"/>
        </w:trPr>
        <w:tc>
          <w:tcPr>
            <w:tcW w:w="1114" w:type="pct"/>
            <w:tcBorders>
              <w:top w:val="nil"/>
              <w:left w:val="nil"/>
              <w:bottom w:val="nil"/>
              <w:right w:val="nil"/>
            </w:tcBorders>
            <w:vAlign w:val="bottom"/>
            <w:hideMark/>
          </w:tcPr>
          <w:p w14:paraId="45A01110" w14:textId="77777777" w:rsidR="00082E66" w:rsidRPr="00082E66" w:rsidRDefault="00082E66" w:rsidP="00082E66">
            <w:pPr>
              <w:jc w:val="center"/>
              <w:rPr>
                <w:rFonts w:ascii="Calibri" w:eastAsia="Times New Roman" w:hAnsi="Calibri" w:cs="Calibri"/>
                <w:color w:val="000000"/>
                <w:kern w:val="0"/>
                <w14:ligatures w14:val="none"/>
              </w:rPr>
            </w:pPr>
          </w:p>
        </w:tc>
        <w:tc>
          <w:tcPr>
            <w:tcW w:w="2462" w:type="pct"/>
            <w:tcBorders>
              <w:top w:val="nil"/>
              <w:left w:val="nil"/>
              <w:bottom w:val="nil"/>
              <w:right w:val="nil"/>
            </w:tcBorders>
            <w:noWrap/>
            <w:vAlign w:val="bottom"/>
            <w:hideMark/>
          </w:tcPr>
          <w:p w14:paraId="28BB5B6B"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center"/>
            <w:hideMark/>
          </w:tcPr>
          <w:p w14:paraId="36AEF216"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vAlign w:val="center"/>
            <w:hideMark/>
          </w:tcPr>
          <w:p w14:paraId="708A0424"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6B51D2F1" w14:textId="77777777" w:rsidTr="00E06415">
        <w:trPr>
          <w:trHeight w:val="555"/>
        </w:trPr>
        <w:tc>
          <w:tcPr>
            <w:tcW w:w="5000" w:type="pct"/>
            <w:gridSpan w:val="4"/>
            <w:tcBorders>
              <w:top w:val="nil"/>
              <w:left w:val="nil"/>
              <w:bottom w:val="nil"/>
              <w:right w:val="nil"/>
            </w:tcBorders>
            <w:noWrap/>
            <w:vAlign w:val="center"/>
            <w:hideMark/>
          </w:tcPr>
          <w:p w14:paraId="65EDB551" w14:textId="77777777" w:rsidR="00082E66" w:rsidRPr="00082E66" w:rsidRDefault="00082E66" w:rsidP="00082E66">
            <w:pPr>
              <w:rPr>
                <w:rFonts w:ascii="Georgia" w:eastAsia="Times New Roman" w:hAnsi="Georgia" w:cs="Calibri"/>
                <w:b/>
                <w:bCs/>
                <w:color w:val="000000"/>
                <w:kern w:val="0"/>
                <w:sz w:val="36"/>
                <w:szCs w:val="36"/>
                <w14:ligatures w14:val="none"/>
              </w:rPr>
            </w:pPr>
            <w:r w:rsidRPr="00082E66">
              <w:rPr>
                <w:rFonts w:ascii="Georgia" w:eastAsia="Times New Roman" w:hAnsi="Georgia" w:cs="Calibri"/>
                <w:b/>
                <w:bCs/>
                <w:color w:val="000000"/>
                <w:kern w:val="0"/>
                <w:sz w:val="36"/>
                <w:szCs w:val="36"/>
                <w14:ligatures w14:val="none"/>
              </w:rPr>
              <w:t xml:space="preserve">California Carbon Taxes:  LCFS and Cap &amp; Trade </w:t>
            </w:r>
          </w:p>
        </w:tc>
      </w:tr>
      <w:tr w:rsidR="00082E66" w:rsidRPr="00082E66" w14:paraId="6AD3CC8A" w14:textId="77777777" w:rsidTr="00E05C17">
        <w:trPr>
          <w:trHeight w:val="510"/>
        </w:trPr>
        <w:tc>
          <w:tcPr>
            <w:tcW w:w="1114" w:type="pct"/>
            <w:tcBorders>
              <w:top w:val="nil"/>
              <w:left w:val="nil"/>
              <w:bottom w:val="nil"/>
              <w:right w:val="nil"/>
            </w:tcBorders>
            <w:vAlign w:val="bottom"/>
            <w:hideMark/>
          </w:tcPr>
          <w:p w14:paraId="3D1664AE" w14:textId="77777777" w:rsidR="00082E66" w:rsidRPr="00082E66" w:rsidRDefault="00082E66" w:rsidP="00082E66">
            <w:pPr>
              <w:rPr>
                <w:rFonts w:ascii="Georgia" w:eastAsia="Times New Roman" w:hAnsi="Georgia" w:cs="Calibri"/>
                <w:b/>
                <w:bCs/>
                <w:color w:val="000000"/>
                <w:kern w:val="0"/>
                <w:sz w:val="36"/>
                <w:szCs w:val="36"/>
                <w14:ligatures w14:val="none"/>
              </w:rPr>
            </w:pPr>
          </w:p>
        </w:tc>
        <w:tc>
          <w:tcPr>
            <w:tcW w:w="2462" w:type="pct"/>
            <w:tcBorders>
              <w:top w:val="nil"/>
              <w:left w:val="nil"/>
              <w:bottom w:val="nil"/>
              <w:right w:val="nil"/>
            </w:tcBorders>
            <w:noWrap/>
            <w:vAlign w:val="bottom"/>
            <w:hideMark/>
          </w:tcPr>
          <w:p w14:paraId="1F214E3D"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noWrap/>
            <w:vAlign w:val="bottom"/>
            <w:hideMark/>
          </w:tcPr>
          <w:p w14:paraId="5BC34AA2"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6E1305D6"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00F4ED93" w14:textId="77777777" w:rsidTr="00E05C17">
        <w:trPr>
          <w:trHeight w:val="390"/>
        </w:trPr>
        <w:tc>
          <w:tcPr>
            <w:tcW w:w="1114" w:type="pct"/>
            <w:tcBorders>
              <w:top w:val="nil"/>
              <w:left w:val="nil"/>
              <w:bottom w:val="nil"/>
              <w:right w:val="nil"/>
            </w:tcBorders>
            <w:vAlign w:val="bottom"/>
            <w:hideMark/>
          </w:tcPr>
          <w:p w14:paraId="5A5AB641"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3886" w:type="pct"/>
            <w:gridSpan w:val="3"/>
            <w:tcBorders>
              <w:top w:val="nil"/>
              <w:left w:val="nil"/>
              <w:bottom w:val="nil"/>
              <w:right w:val="nil"/>
            </w:tcBorders>
            <w:noWrap/>
            <w:vAlign w:val="center"/>
          </w:tcPr>
          <w:tbl>
            <w:tblPr>
              <w:tblW w:w="3940" w:type="dxa"/>
              <w:tblLook w:val="04A0" w:firstRow="1" w:lastRow="0" w:firstColumn="1" w:lastColumn="0" w:noHBand="0" w:noVBand="1"/>
            </w:tblPr>
            <w:tblGrid>
              <w:gridCol w:w="1089"/>
              <w:gridCol w:w="721"/>
              <w:gridCol w:w="1409"/>
              <w:gridCol w:w="721"/>
            </w:tblGrid>
            <w:tr w:rsidR="00E06415" w:rsidRPr="00E06415" w14:paraId="1CCEB1DD" w14:textId="77777777" w:rsidTr="00E06415">
              <w:trPr>
                <w:trHeight w:val="300"/>
              </w:trPr>
              <w:tc>
                <w:tcPr>
                  <w:tcW w:w="3940" w:type="dxa"/>
                  <w:gridSpan w:val="4"/>
                  <w:tcBorders>
                    <w:top w:val="nil"/>
                    <w:left w:val="nil"/>
                    <w:bottom w:val="nil"/>
                    <w:right w:val="nil"/>
                  </w:tcBorders>
                  <w:noWrap/>
                  <w:vAlign w:val="center"/>
                  <w:hideMark/>
                </w:tcPr>
                <w:p w14:paraId="1C0F94DD" w14:textId="77777777" w:rsidR="00E06415" w:rsidRPr="00E06415" w:rsidRDefault="00E06415" w:rsidP="00E06415">
                  <w:pPr>
                    <w:rPr>
                      <w:rFonts w:ascii="Calibri" w:eastAsia="Times New Roman" w:hAnsi="Calibri" w:cs="Calibri"/>
                      <w:b/>
                      <w:bCs/>
                      <w:color w:val="000000"/>
                      <w:kern w:val="0"/>
                      <w:sz w:val="20"/>
                      <w:szCs w:val="20"/>
                      <w14:ligatures w14:val="none"/>
                    </w:rPr>
                  </w:pPr>
                  <w:r w:rsidRPr="00E06415">
                    <w:rPr>
                      <w:rFonts w:ascii="Calibri" w:eastAsia="Times New Roman" w:hAnsi="Calibri" w:cs="Calibri"/>
                      <w:b/>
                      <w:bCs/>
                      <w:color w:val="000000"/>
                      <w:kern w:val="0"/>
                      <w:sz w:val="20"/>
                      <w:szCs w:val="20"/>
                      <w14:ligatures w14:val="none"/>
                    </w:rPr>
                    <w:t>Per Gallon Carbon Taxes, December 2025</w:t>
                  </w:r>
                </w:p>
              </w:tc>
            </w:tr>
            <w:tr w:rsidR="00E06415" w:rsidRPr="00E06415" w14:paraId="33B8FC72" w14:textId="77777777" w:rsidTr="00E06415">
              <w:trPr>
                <w:trHeight w:val="225"/>
              </w:trPr>
              <w:tc>
                <w:tcPr>
                  <w:tcW w:w="3219" w:type="dxa"/>
                  <w:gridSpan w:val="3"/>
                  <w:tcBorders>
                    <w:top w:val="nil"/>
                    <w:left w:val="nil"/>
                    <w:bottom w:val="nil"/>
                    <w:right w:val="nil"/>
                  </w:tcBorders>
                  <w:noWrap/>
                  <w:hideMark/>
                </w:tcPr>
                <w:p w14:paraId="408A1B04" w14:textId="77777777" w:rsidR="00E06415" w:rsidRPr="00E06415" w:rsidRDefault="00E06415" w:rsidP="00E06415">
                  <w:pPr>
                    <w:rPr>
                      <w:rFonts w:ascii="Calibri" w:eastAsia="Times New Roman" w:hAnsi="Calibri" w:cs="Calibri"/>
                      <w:i/>
                      <w:iCs/>
                      <w:color w:val="000000"/>
                      <w:kern w:val="0"/>
                      <w:sz w:val="14"/>
                      <w:szCs w:val="14"/>
                      <w14:ligatures w14:val="none"/>
                    </w:rPr>
                  </w:pPr>
                  <w:r w:rsidRPr="00E06415">
                    <w:rPr>
                      <w:rFonts w:ascii="Calibri" w:eastAsia="Times New Roman" w:hAnsi="Calibri" w:cs="Calibri"/>
                      <w:i/>
                      <w:iCs/>
                      <w:color w:val="000000"/>
                      <w:kern w:val="0"/>
                      <w:sz w:val="14"/>
                      <w:szCs w:val="14"/>
                      <w14:ligatures w14:val="none"/>
                    </w:rPr>
                    <w:t>Source:  OPIS adjusted to include sales tax</w:t>
                  </w:r>
                </w:p>
              </w:tc>
              <w:tc>
                <w:tcPr>
                  <w:tcW w:w="721" w:type="dxa"/>
                  <w:tcBorders>
                    <w:top w:val="nil"/>
                    <w:left w:val="nil"/>
                    <w:bottom w:val="nil"/>
                    <w:right w:val="nil"/>
                  </w:tcBorders>
                  <w:noWrap/>
                  <w:hideMark/>
                </w:tcPr>
                <w:p w14:paraId="0D3B36FB" w14:textId="77777777" w:rsidR="00E06415" w:rsidRPr="00E06415" w:rsidRDefault="00E06415" w:rsidP="00E06415">
                  <w:pPr>
                    <w:rPr>
                      <w:rFonts w:ascii="Calibri" w:eastAsia="Times New Roman" w:hAnsi="Calibri" w:cs="Calibri"/>
                      <w:i/>
                      <w:iCs/>
                      <w:color w:val="000000"/>
                      <w:kern w:val="0"/>
                      <w:sz w:val="14"/>
                      <w:szCs w:val="14"/>
                      <w14:ligatures w14:val="none"/>
                    </w:rPr>
                  </w:pPr>
                </w:p>
              </w:tc>
            </w:tr>
            <w:tr w:rsidR="00E06415" w:rsidRPr="00E06415" w14:paraId="38331A3F" w14:textId="77777777" w:rsidTr="00E06415">
              <w:trPr>
                <w:trHeight w:val="90"/>
              </w:trPr>
              <w:tc>
                <w:tcPr>
                  <w:tcW w:w="1089" w:type="dxa"/>
                  <w:tcBorders>
                    <w:top w:val="nil"/>
                    <w:left w:val="nil"/>
                    <w:bottom w:val="single" w:sz="8" w:space="0" w:color="auto"/>
                    <w:right w:val="nil"/>
                  </w:tcBorders>
                  <w:noWrap/>
                  <w:vAlign w:val="center"/>
                  <w:hideMark/>
                </w:tcPr>
                <w:p w14:paraId="5AB98345" w14:textId="77777777" w:rsidR="00E06415" w:rsidRPr="00E06415" w:rsidRDefault="00E06415" w:rsidP="00E06415">
                  <w:pPr>
                    <w:rPr>
                      <w:rFonts w:ascii="Calibri" w:eastAsia="Times New Roman" w:hAnsi="Calibri" w:cs="Calibri"/>
                      <w:color w:val="000000"/>
                      <w:kern w:val="0"/>
                      <w:sz w:val="20"/>
                      <w:szCs w:val="20"/>
                      <w14:ligatures w14:val="none"/>
                    </w:rPr>
                  </w:pPr>
                  <w:r w:rsidRPr="00E06415">
                    <w:rPr>
                      <w:rFonts w:ascii="Calibri" w:eastAsia="Times New Roman" w:hAnsi="Calibri" w:cs="Calibri"/>
                      <w:color w:val="000000"/>
                      <w:kern w:val="0"/>
                      <w:sz w:val="20"/>
                      <w:szCs w:val="20"/>
                      <w14:ligatures w14:val="none"/>
                    </w:rPr>
                    <w:t> </w:t>
                  </w:r>
                </w:p>
              </w:tc>
              <w:tc>
                <w:tcPr>
                  <w:tcW w:w="721" w:type="dxa"/>
                  <w:tcBorders>
                    <w:top w:val="nil"/>
                    <w:left w:val="nil"/>
                    <w:bottom w:val="single" w:sz="8" w:space="0" w:color="auto"/>
                    <w:right w:val="nil"/>
                  </w:tcBorders>
                  <w:noWrap/>
                  <w:vAlign w:val="center"/>
                  <w:hideMark/>
                </w:tcPr>
                <w:p w14:paraId="19EDD073" w14:textId="77777777" w:rsidR="00E06415" w:rsidRPr="00E06415" w:rsidRDefault="00E06415" w:rsidP="00E06415">
                  <w:pPr>
                    <w:rPr>
                      <w:rFonts w:ascii="Calibri" w:eastAsia="Times New Roman" w:hAnsi="Calibri" w:cs="Calibri"/>
                      <w:color w:val="000000"/>
                      <w:kern w:val="0"/>
                      <w:sz w:val="20"/>
                      <w:szCs w:val="20"/>
                      <w14:ligatures w14:val="none"/>
                    </w:rPr>
                  </w:pPr>
                  <w:r w:rsidRPr="00E06415">
                    <w:rPr>
                      <w:rFonts w:ascii="Calibri" w:eastAsia="Times New Roman" w:hAnsi="Calibri" w:cs="Calibri"/>
                      <w:color w:val="000000"/>
                      <w:kern w:val="0"/>
                      <w:sz w:val="20"/>
                      <w:szCs w:val="20"/>
                      <w14:ligatures w14:val="none"/>
                    </w:rPr>
                    <w:t> </w:t>
                  </w:r>
                </w:p>
              </w:tc>
              <w:tc>
                <w:tcPr>
                  <w:tcW w:w="1409" w:type="dxa"/>
                  <w:tcBorders>
                    <w:top w:val="nil"/>
                    <w:left w:val="nil"/>
                    <w:bottom w:val="single" w:sz="8" w:space="0" w:color="auto"/>
                    <w:right w:val="nil"/>
                  </w:tcBorders>
                  <w:noWrap/>
                  <w:vAlign w:val="center"/>
                  <w:hideMark/>
                </w:tcPr>
                <w:p w14:paraId="53629236" w14:textId="77777777" w:rsidR="00E06415" w:rsidRPr="00E06415" w:rsidRDefault="00E06415" w:rsidP="00E06415">
                  <w:pPr>
                    <w:rPr>
                      <w:rFonts w:ascii="Calibri" w:eastAsia="Times New Roman" w:hAnsi="Calibri" w:cs="Calibri"/>
                      <w:color w:val="000000"/>
                      <w:kern w:val="0"/>
                      <w:sz w:val="20"/>
                      <w:szCs w:val="20"/>
                      <w14:ligatures w14:val="none"/>
                    </w:rPr>
                  </w:pPr>
                  <w:r w:rsidRPr="00E06415">
                    <w:rPr>
                      <w:rFonts w:ascii="Calibri" w:eastAsia="Times New Roman" w:hAnsi="Calibri" w:cs="Calibri"/>
                      <w:color w:val="000000"/>
                      <w:kern w:val="0"/>
                      <w:sz w:val="20"/>
                      <w:szCs w:val="20"/>
                      <w14:ligatures w14:val="none"/>
                    </w:rPr>
                    <w:t> </w:t>
                  </w:r>
                </w:p>
              </w:tc>
              <w:tc>
                <w:tcPr>
                  <w:tcW w:w="721" w:type="dxa"/>
                  <w:tcBorders>
                    <w:top w:val="nil"/>
                    <w:left w:val="nil"/>
                    <w:bottom w:val="nil"/>
                    <w:right w:val="nil"/>
                  </w:tcBorders>
                  <w:noWrap/>
                  <w:vAlign w:val="bottom"/>
                  <w:hideMark/>
                </w:tcPr>
                <w:p w14:paraId="078FF192" w14:textId="77777777" w:rsidR="00E06415" w:rsidRPr="00E06415" w:rsidRDefault="00E06415" w:rsidP="00E06415">
                  <w:pPr>
                    <w:rPr>
                      <w:rFonts w:ascii="Calibri" w:eastAsia="Times New Roman" w:hAnsi="Calibri" w:cs="Calibri"/>
                      <w:color w:val="000000"/>
                      <w:kern w:val="0"/>
                      <w:sz w:val="20"/>
                      <w:szCs w:val="20"/>
                      <w14:ligatures w14:val="none"/>
                    </w:rPr>
                  </w:pPr>
                </w:p>
              </w:tc>
            </w:tr>
            <w:tr w:rsidR="00E06415" w:rsidRPr="00E06415" w14:paraId="4E47A95C" w14:textId="77777777" w:rsidTr="00E06415">
              <w:trPr>
                <w:trHeight w:val="315"/>
              </w:trPr>
              <w:tc>
                <w:tcPr>
                  <w:tcW w:w="1089" w:type="dxa"/>
                  <w:tcBorders>
                    <w:top w:val="nil"/>
                    <w:left w:val="nil"/>
                    <w:bottom w:val="single" w:sz="8" w:space="0" w:color="auto"/>
                    <w:right w:val="nil"/>
                  </w:tcBorders>
                  <w:noWrap/>
                  <w:vAlign w:val="center"/>
                  <w:hideMark/>
                </w:tcPr>
                <w:p w14:paraId="1B82C32C" w14:textId="77777777" w:rsidR="00E06415" w:rsidRPr="00E06415" w:rsidRDefault="00E06415" w:rsidP="00E06415">
                  <w:pPr>
                    <w:rPr>
                      <w:rFonts w:ascii="Calibri" w:eastAsia="Times New Roman" w:hAnsi="Calibri" w:cs="Calibri"/>
                      <w:color w:val="000000"/>
                      <w:kern w:val="0"/>
                      <w:sz w:val="20"/>
                      <w:szCs w:val="20"/>
                      <w14:ligatures w14:val="none"/>
                    </w:rPr>
                  </w:pPr>
                  <w:r w:rsidRPr="00E06415">
                    <w:rPr>
                      <w:rFonts w:ascii="Calibri" w:eastAsia="Times New Roman" w:hAnsi="Calibri" w:cs="Calibri"/>
                      <w:color w:val="000000"/>
                      <w:kern w:val="0"/>
                      <w:sz w:val="20"/>
                      <w:szCs w:val="20"/>
                      <w14:ligatures w14:val="none"/>
                    </w:rPr>
                    <w:t> </w:t>
                  </w:r>
                </w:p>
              </w:tc>
              <w:tc>
                <w:tcPr>
                  <w:tcW w:w="721" w:type="dxa"/>
                  <w:tcBorders>
                    <w:top w:val="nil"/>
                    <w:left w:val="nil"/>
                    <w:bottom w:val="single" w:sz="8" w:space="0" w:color="auto"/>
                    <w:right w:val="nil"/>
                  </w:tcBorders>
                  <w:noWrap/>
                  <w:vAlign w:val="center"/>
                  <w:hideMark/>
                </w:tcPr>
                <w:p w14:paraId="02863220" w14:textId="77777777" w:rsidR="00E06415" w:rsidRPr="00E06415" w:rsidRDefault="00E06415" w:rsidP="00E06415">
                  <w:pPr>
                    <w:jc w:val="center"/>
                    <w:rPr>
                      <w:rFonts w:ascii="Calibri" w:eastAsia="Times New Roman" w:hAnsi="Calibri" w:cs="Calibri"/>
                      <w:b/>
                      <w:bCs/>
                      <w:color w:val="000000"/>
                      <w:kern w:val="0"/>
                      <w:sz w:val="18"/>
                      <w:szCs w:val="18"/>
                      <w14:ligatures w14:val="none"/>
                    </w:rPr>
                  </w:pPr>
                  <w:r w:rsidRPr="00E06415">
                    <w:rPr>
                      <w:rFonts w:ascii="Calibri" w:eastAsia="Times New Roman" w:hAnsi="Calibri" w:cs="Calibri"/>
                      <w:b/>
                      <w:bCs/>
                      <w:color w:val="000000"/>
                      <w:kern w:val="0"/>
                      <w:sz w:val="18"/>
                      <w:szCs w:val="18"/>
                      <w14:ligatures w14:val="none"/>
                    </w:rPr>
                    <w:t>LCFS</w:t>
                  </w:r>
                </w:p>
              </w:tc>
              <w:tc>
                <w:tcPr>
                  <w:tcW w:w="1409" w:type="dxa"/>
                  <w:tcBorders>
                    <w:top w:val="nil"/>
                    <w:left w:val="nil"/>
                    <w:bottom w:val="single" w:sz="8" w:space="0" w:color="auto"/>
                    <w:right w:val="nil"/>
                  </w:tcBorders>
                  <w:noWrap/>
                  <w:vAlign w:val="center"/>
                  <w:hideMark/>
                </w:tcPr>
                <w:p w14:paraId="713D9F82" w14:textId="77777777" w:rsidR="00E06415" w:rsidRPr="00E06415" w:rsidRDefault="00E06415" w:rsidP="00E06415">
                  <w:pPr>
                    <w:jc w:val="center"/>
                    <w:rPr>
                      <w:rFonts w:ascii="Calibri" w:eastAsia="Times New Roman" w:hAnsi="Calibri" w:cs="Calibri"/>
                      <w:b/>
                      <w:bCs/>
                      <w:color w:val="000000"/>
                      <w:kern w:val="0"/>
                      <w:sz w:val="18"/>
                      <w:szCs w:val="18"/>
                      <w14:ligatures w14:val="none"/>
                    </w:rPr>
                  </w:pPr>
                  <w:r w:rsidRPr="00E06415">
                    <w:rPr>
                      <w:rFonts w:ascii="Calibri" w:eastAsia="Times New Roman" w:hAnsi="Calibri" w:cs="Calibri"/>
                      <w:b/>
                      <w:bCs/>
                      <w:color w:val="000000"/>
                      <w:kern w:val="0"/>
                      <w:sz w:val="18"/>
                      <w:szCs w:val="18"/>
                      <w14:ligatures w14:val="none"/>
                    </w:rPr>
                    <w:t>Cap &amp; Trade</w:t>
                  </w:r>
                </w:p>
              </w:tc>
              <w:tc>
                <w:tcPr>
                  <w:tcW w:w="721" w:type="dxa"/>
                  <w:tcBorders>
                    <w:top w:val="single" w:sz="8" w:space="0" w:color="auto"/>
                    <w:left w:val="nil"/>
                    <w:bottom w:val="single" w:sz="8" w:space="0" w:color="auto"/>
                    <w:right w:val="nil"/>
                  </w:tcBorders>
                  <w:noWrap/>
                  <w:vAlign w:val="center"/>
                  <w:hideMark/>
                </w:tcPr>
                <w:p w14:paraId="641D2CAC" w14:textId="77777777" w:rsidR="00E06415" w:rsidRPr="00E06415" w:rsidRDefault="00E06415" w:rsidP="00E06415">
                  <w:pPr>
                    <w:jc w:val="center"/>
                    <w:rPr>
                      <w:rFonts w:ascii="Calibri" w:eastAsia="Times New Roman" w:hAnsi="Calibri" w:cs="Calibri"/>
                      <w:b/>
                      <w:bCs/>
                      <w:color w:val="000000"/>
                      <w:kern w:val="0"/>
                      <w:sz w:val="18"/>
                      <w:szCs w:val="18"/>
                      <w14:ligatures w14:val="none"/>
                    </w:rPr>
                  </w:pPr>
                  <w:r w:rsidRPr="00E06415">
                    <w:rPr>
                      <w:rFonts w:ascii="Calibri" w:eastAsia="Times New Roman" w:hAnsi="Calibri" w:cs="Calibri"/>
                      <w:b/>
                      <w:bCs/>
                      <w:color w:val="000000"/>
                      <w:kern w:val="0"/>
                      <w:sz w:val="18"/>
                      <w:szCs w:val="18"/>
                      <w14:ligatures w14:val="none"/>
                    </w:rPr>
                    <w:t>Total</w:t>
                  </w:r>
                </w:p>
              </w:tc>
            </w:tr>
            <w:tr w:rsidR="00E06415" w:rsidRPr="00E06415" w14:paraId="75601B90" w14:textId="77777777" w:rsidTr="00E06415">
              <w:trPr>
                <w:trHeight w:val="300"/>
              </w:trPr>
              <w:tc>
                <w:tcPr>
                  <w:tcW w:w="1089" w:type="dxa"/>
                  <w:tcBorders>
                    <w:top w:val="nil"/>
                    <w:left w:val="nil"/>
                    <w:bottom w:val="nil"/>
                    <w:right w:val="nil"/>
                  </w:tcBorders>
                  <w:noWrap/>
                  <w:vAlign w:val="center"/>
                  <w:hideMark/>
                </w:tcPr>
                <w:p w14:paraId="2E391753" w14:textId="77777777" w:rsidR="00E06415" w:rsidRPr="00E06415" w:rsidRDefault="00E06415" w:rsidP="00E06415">
                  <w:pPr>
                    <w:rPr>
                      <w:rFonts w:ascii="Calibri" w:eastAsia="Times New Roman" w:hAnsi="Calibri" w:cs="Calibri"/>
                      <w:color w:val="000000"/>
                      <w:kern w:val="0"/>
                      <w:sz w:val="20"/>
                      <w:szCs w:val="20"/>
                      <w14:ligatures w14:val="none"/>
                    </w:rPr>
                  </w:pPr>
                  <w:r w:rsidRPr="00E06415">
                    <w:rPr>
                      <w:rFonts w:ascii="Calibri" w:eastAsia="Times New Roman" w:hAnsi="Calibri" w:cs="Calibri"/>
                      <w:color w:val="000000"/>
                      <w:kern w:val="0"/>
                      <w:sz w:val="20"/>
                      <w:szCs w:val="20"/>
                      <w14:ligatures w14:val="none"/>
                    </w:rPr>
                    <w:t>Gasoline</w:t>
                  </w:r>
                </w:p>
              </w:tc>
              <w:tc>
                <w:tcPr>
                  <w:tcW w:w="721" w:type="dxa"/>
                  <w:tcBorders>
                    <w:top w:val="nil"/>
                    <w:left w:val="nil"/>
                    <w:bottom w:val="nil"/>
                    <w:right w:val="nil"/>
                  </w:tcBorders>
                  <w:noWrap/>
                  <w:vAlign w:val="center"/>
                  <w:hideMark/>
                </w:tcPr>
                <w:p w14:paraId="5F408A04" w14:textId="77777777" w:rsidR="00E06415" w:rsidRPr="00E06415" w:rsidRDefault="00E06415" w:rsidP="00E06415">
                  <w:pPr>
                    <w:jc w:val="right"/>
                    <w:rPr>
                      <w:rFonts w:ascii="Calibri" w:eastAsia="Times New Roman" w:hAnsi="Calibri" w:cs="Calibri"/>
                      <w:color w:val="FF0000"/>
                      <w:kern w:val="0"/>
                      <w:sz w:val="20"/>
                      <w:szCs w:val="20"/>
                      <w14:ligatures w14:val="none"/>
                    </w:rPr>
                  </w:pPr>
                  <w:r w:rsidRPr="00E06415">
                    <w:rPr>
                      <w:rFonts w:ascii="Calibri" w:eastAsia="Times New Roman" w:hAnsi="Calibri" w:cs="Calibri"/>
                      <w:color w:val="FF0000"/>
                      <w:kern w:val="0"/>
                      <w:sz w:val="20"/>
                      <w:szCs w:val="20"/>
                      <w14:ligatures w14:val="none"/>
                    </w:rPr>
                    <w:t>$0.15</w:t>
                  </w:r>
                </w:p>
              </w:tc>
              <w:tc>
                <w:tcPr>
                  <w:tcW w:w="1409" w:type="dxa"/>
                  <w:tcBorders>
                    <w:top w:val="nil"/>
                    <w:left w:val="nil"/>
                    <w:bottom w:val="nil"/>
                    <w:right w:val="nil"/>
                  </w:tcBorders>
                  <w:noWrap/>
                  <w:vAlign w:val="center"/>
                  <w:hideMark/>
                </w:tcPr>
                <w:p w14:paraId="49FBA481" w14:textId="77777777" w:rsidR="00E06415" w:rsidRPr="00E06415" w:rsidRDefault="00E06415" w:rsidP="00E06415">
                  <w:pPr>
                    <w:jc w:val="right"/>
                    <w:rPr>
                      <w:rFonts w:ascii="Calibri" w:eastAsia="Times New Roman" w:hAnsi="Calibri" w:cs="Calibri"/>
                      <w:color w:val="4472C4"/>
                      <w:kern w:val="0"/>
                      <w:sz w:val="20"/>
                      <w:szCs w:val="20"/>
                      <w14:ligatures w14:val="none"/>
                    </w:rPr>
                  </w:pPr>
                  <w:r w:rsidRPr="00E06415">
                    <w:rPr>
                      <w:rFonts w:ascii="Calibri" w:eastAsia="Times New Roman" w:hAnsi="Calibri" w:cs="Calibri"/>
                      <w:color w:val="4472C4"/>
                      <w:kern w:val="0"/>
                      <w:sz w:val="20"/>
                      <w:szCs w:val="20"/>
                      <w14:ligatures w14:val="none"/>
                    </w:rPr>
                    <w:t>$0.27</w:t>
                  </w:r>
                </w:p>
              </w:tc>
              <w:tc>
                <w:tcPr>
                  <w:tcW w:w="721" w:type="dxa"/>
                  <w:tcBorders>
                    <w:top w:val="nil"/>
                    <w:left w:val="nil"/>
                    <w:bottom w:val="nil"/>
                    <w:right w:val="nil"/>
                  </w:tcBorders>
                  <w:noWrap/>
                  <w:vAlign w:val="center"/>
                  <w:hideMark/>
                </w:tcPr>
                <w:p w14:paraId="55E2B5AA" w14:textId="77777777" w:rsidR="00E06415" w:rsidRPr="00E06415" w:rsidRDefault="00E06415" w:rsidP="00E06415">
                  <w:pPr>
                    <w:jc w:val="right"/>
                    <w:rPr>
                      <w:rFonts w:ascii="Calibri" w:eastAsia="Times New Roman" w:hAnsi="Calibri" w:cs="Calibri"/>
                      <w:kern w:val="0"/>
                      <w:sz w:val="20"/>
                      <w:szCs w:val="20"/>
                      <w14:ligatures w14:val="none"/>
                    </w:rPr>
                  </w:pPr>
                  <w:r w:rsidRPr="00E06415">
                    <w:rPr>
                      <w:rFonts w:ascii="Calibri" w:eastAsia="Times New Roman" w:hAnsi="Calibri" w:cs="Calibri"/>
                      <w:kern w:val="0"/>
                      <w:sz w:val="20"/>
                      <w:szCs w:val="20"/>
                      <w14:ligatures w14:val="none"/>
                    </w:rPr>
                    <w:t>$0.42</w:t>
                  </w:r>
                </w:p>
              </w:tc>
            </w:tr>
            <w:tr w:rsidR="00E06415" w:rsidRPr="00E06415" w14:paraId="43527973" w14:textId="77777777" w:rsidTr="00E06415">
              <w:trPr>
                <w:trHeight w:val="315"/>
              </w:trPr>
              <w:tc>
                <w:tcPr>
                  <w:tcW w:w="1089" w:type="dxa"/>
                  <w:tcBorders>
                    <w:top w:val="nil"/>
                    <w:left w:val="nil"/>
                    <w:bottom w:val="single" w:sz="8" w:space="0" w:color="auto"/>
                    <w:right w:val="nil"/>
                  </w:tcBorders>
                  <w:noWrap/>
                  <w:vAlign w:val="center"/>
                  <w:hideMark/>
                </w:tcPr>
                <w:p w14:paraId="030E573B" w14:textId="77777777" w:rsidR="00E06415" w:rsidRPr="00E06415" w:rsidRDefault="00E06415" w:rsidP="00E06415">
                  <w:pPr>
                    <w:rPr>
                      <w:rFonts w:ascii="Calibri" w:eastAsia="Times New Roman" w:hAnsi="Calibri" w:cs="Calibri"/>
                      <w:color w:val="000000"/>
                      <w:kern w:val="0"/>
                      <w:sz w:val="20"/>
                      <w:szCs w:val="20"/>
                      <w14:ligatures w14:val="none"/>
                    </w:rPr>
                  </w:pPr>
                  <w:r w:rsidRPr="00E06415">
                    <w:rPr>
                      <w:rFonts w:ascii="Calibri" w:eastAsia="Times New Roman" w:hAnsi="Calibri" w:cs="Calibri"/>
                      <w:color w:val="000000"/>
                      <w:kern w:val="0"/>
                      <w:sz w:val="20"/>
                      <w:szCs w:val="20"/>
                      <w14:ligatures w14:val="none"/>
                    </w:rPr>
                    <w:t>Diesel</w:t>
                  </w:r>
                </w:p>
              </w:tc>
              <w:tc>
                <w:tcPr>
                  <w:tcW w:w="721" w:type="dxa"/>
                  <w:tcBorders>
                    <w:top w:val="nil"/>
                    <w:left w:val="nil"/>
                    <w:bottom w:val="single" w:sz="8" w:space="0" w:color="auto"/>
                    <w:right w:val="nil"/>
                  </w:tcBorders>
                  <w:noWrap/>
                  <w:vAlign w:val="center"/>
                  <w:hideMark/>
                </w:tcPr>
                <w:p w14:paraId="583525E8" w14:textId="77777777" w:rsidR="00E06415" w:rsidRPr="00E06415" w:rsidRDefault="00E06415" w:rsidP="00E06415">
                  <w:pPr>
                    <w:jc w:val="right"/>
                    <w:rPr>
                      <w:rFonts w:ascii="Calibri" w:eastAsia="Times New Roman" w:hAnsi="Calibri" w:cs="Calibri"/>
                      <w:kern w:val="0"/>
                      <w:sz w:val="20"/>
                      <w:szCs w:val="20"/>
                      <w14:ligatures w14:val="none"/>
                    </w:rPr>
                  </w:pPr>
                  <w:r w:rsidRPr="00E06415">
                    <w:rPr>
                      <w:rFonts w:ascii="Calibri" w:eastAsia="Times New Roman" w:hAnsi="Calibri" w:cs="Calibri"/>
                      <w:kern w:val="0"/>
                      <w:sz w:val="20"/>
                      <w:szCs w:val="20"/>
                      <w14:ligatures w14:val="none"/>
                    </w:rPr>
                    <w:t>$0.17</w:t>
                  </w:r>
                </w:p>
              </w:tc>
              <w:tc>
                <w:tcPr>
                  <w:tcW w:w="1409" w:type="dxa"/>
                  <w:tcBorders>
                    <w:top w:val="nil"/>
                    <w:left w:val="nil"/>
                    <w:bottom w:val="single" w:sz="8" w:space="0" w:color="auto"/>
                    <w:right w:val="nil"/>
                  </w:tcBorders>
                  <w:noWrap/>
                  <w:vAlign w:val="center"/>
                  <w:hideMark/>
                </w:tcPr>
                <w:p w14:paraId="09FC2D53" w14:textId="77777777" w:rsidR="00E06415" w:rsidRPr="00E06415" w:rsidRDefault="00E06415" w:rsidP="00E06415">
                  <w:pPr>
                    <w:jc w:val="right"/>
                    <w:rPr>
                      <w:rFonts w:ascii="Calibri" w:eastAsia="Times New Roman" w:hAnsi="Calibri" w:cs="Calibri"/>
                      <w:color w:val="4472C4"/>
                      <w:kern w:val="0"/>
                      <w:sz w:val="20"/>
                      <w:szCs w:val="20"/>
                      <w14:ligatures w14:val="none"/>
                    </w:rPr>
                  </w:pPr>
                  <w:r w:rsidRPr="00E06415">
                    <w:rPr>
                      <w:rFonts w:ascii="Calibri" w:eastAsia="Times New Roman" w:hAnsi="Calibri" w:cs="Calibri"/>
                      <w:color w:val="4472C4"/>
                      <w:kern w:val="0"/>
                      <w:sz w:val="20"/>
                      <w:szCs w:val="20"/>
                      <w14:ligatures w14:val="none"/>
                    </w:rPr>
                    <w:t>$0.34</w:t>
                  </w:r>
                </w:p>
              </w:tc>
              <w:tc>
                <w:tcPr>
                  <w:tcW w:w="721" w:type="dxa"/>
                  <w:tcBorders>
                    <w:top w:val="nil"/>
                    <w:left w:val="nil"/>
                    <w:bottom w:val="single" w:sz="8" w:space="0" w:color="auto"/>
                    <w:right w:val="nil"/>
                  </w:tcBorders>
                  <w:noWrap/>
                  <w:vAlign w:val="center"/>
                  <w:hideMark/>
                </w:tcPr>
                <w:p w14:paraId="2A636CD2" w14:textId="77777777" w:rsidR="00E06415" w:rsidRPr="00E06415" w:rsidRDefault="00E06415" w:rsidP="00E06415">
                  <w:pPr>
                    <w:jc w:val="right"/>
                    <w:rPr>
                      <w:rFonts w:ascii="Calibri" w:eastAsia="Times New Roman" w:hAnsi="Calibri" w:cs="Calibri"/>
                      <w:kern w:val="0"/>
                      <w:sz w:val="20"/>
                      <w:szCs w:val="20"/>
                      <w14:ligatures w14:val="none"/>
                    </w:rPr>
                  </w:pPr>
                  <w:r w:rsidRPr="00E06415">
                    <w:rPr>
                      <w:rFonts w:ascii="Calibri" w:eastAsia="Times New Roman" w:hAnsi="Calibri" w:cs="Calibri"/>
                      <w:kern w:val="0"/>
                      <w:sz w:val="20"/>
                      <w:szCs w:val="20"/>
                      <w14:ligatures w14:val="none"/>
                    </w:rPr>
                    <w:t>$0.52</w:t>
                  </w:r>
                </w:p>
              </w:tc>
            </w:tr>
          </w:tbl>
          <w:p w14:paraId="650EB9A5" w14:textId="17A0BF98" w:rsidR="00082E66" w:rsidRPr="00082E66" w:rsidRDefault="00082E66" w:rsidP="00082E66">
            <w:pPr>
              <w:rPr>
                <w:rFonts w:ascii="Calibri" w:eastAsia="Times New Roman" w:hAnsi="Calibri" w:cs="Calibri"/>
                <w:b/>
                <w:bCs/>
                <w:color w:val="000000"/>
                <w:kern w:val="0"/>
                <w:sz w:val="20"/>
                <w:szCs w:val="20"/>
                <w14:ligatures w14:val="none"/>
              </w:rPr>
            </w:pPr>
          </w:p>
        </w:tc>
      </w:tr>
      <w:tr w:rsidR="00082E66" w:rsidRPr="00082E66" w14:paraId="48074687" w14:textId="77777777" w:rsidTr="00E05C17">
        <w:trPr>
          <w:trHeight w:val="180"/>
        </w:trPr>
        <w:tc>
          <w:tcPr>
            <w:tcW w:w="1114" w:type="pct"/>
            <w:tcBorders>
              <w:top w:val="nil"/>
              <w:left w:val="nil"/>
              <w:bottom w:val="nil"/>
              <w:right w:val="nil"/>
            </w:tcBorders>
            <w:vAlign w:val="bottom"/>
            <w:hideMark/>
          </w:tcPr>
          <w:p w14:paraId="4F4AD2D4" w14:textId="77777777" w:rsidR="00082E66" w:rsidRPr="00082E66" w:rsidRDefault="00082E66" w:rsidP="00082E66">
            <w:pPr>
              <w:rPr>
                <w:rFonts w:ascii="Calibri" w:eastAsia="Times New Roman" w:hAnsi="Calibri" w:cs="Calibri"/>
                <w:b/>
                <w:bCs/>
                <w:color w:val="000000"/>
                <w:kern w:val="0"/>
                <w:sz w:val="20"/>
                <w:szCs w:val="20"/>
                <w14:ligatures w14:val="none"/>
              </w:rPr>
            </w:pPr>
          </w:p>
        </w:tc>
        <w:tc>
          <w:tcPr>
            <w:tcW w:w="3886" w:type="pct"/>
            <w:gridSpan w:val="3"/>
            <w:tcBorders>
              <w:top w:val="nil"/>
              <w:left w:val="nil"/>
              <w:bottom w:val="nil"/>
              <w:right w:val="nil"/>
            </w:tcBorders>
            <w:noWrap/>
            <w:vAlign w:val="center"/>
          </w:tcPr>
          <w:p w14:paraId="0486F23A"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23525A0F" w14:textId="77777777" w:rsidTr="00E05C17">
        <w:trPr>
          <w:trHeight w:val="300"/>
        </w:trPr>
        <w:tc>
          <w:tcPr>
            <w:tcW w:w="1114" w:type="pct"/>
            <w:tcBorders>
              <w:top w:val="nil"/>
              <w:left w:val="nil"/>
              <w:bottom w:val="nil"/>
              <w:right w:val="nil"/>
            </w:tcBorders>
            <w:vAlign w:val="bottom"/>
            <w:hideMark/>
          </w:tcPr>
          <w:p w14:paraId="4C5F1BA2" w14:textId="77777777" w:rsidR="00082E66" w:rsidRPr="00082E66" w:rsidRDefault="00082E66" w:rsidP="00640922">
            <w:pPr>
              <w:rPr>
                <w:rFonts w:ascii="Calibri" w:eastAsia="Times New Roman" w:hAnsi="Calibri" w:cs="Calibri"/>
                <w:color w:val="FF0000"/>
                <w:kern w:val="0"/>
                <w:sz w:val="20"/>
                <w:szCs w:val="20"/>
                <w14:ligatures w14:val="none"/>
              </w:rPr>
            </w:pPr>
          </w:p>
        </w:tc>
        <w:tc>
          <w:tcPr>
            <w:tcW w:w="2462" w:type="pct"/>
            <w:tcBorders>
              <w:top w:val="nil"/>
              <w:left w:val="nil"/>
              <w:bottom w:val="nil"/>
              <w:right w:val="nil"/>
            </w:tcBorders>
            <w:noWrap/>
            <w:vAlign w:val="bottom"/>
            <w:hideMark/>
          </w:tcPr>
          <w:p w14:paraId="77B3F89B"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noWrap/>
            <w:vAlign w:val="bottom"/>
            <w:hideMark/>
          </w:tcPr>
          <w:p w14:paraId="4E553B95"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36DBA4E9"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591A41F0" w14:textId="77777777" w:rsidTr="00E06415">
        <w:trPr>
          <w:trHeight w:val="1695"/>
        </w:trPr>
        <w:tc>
          <w:tcPr>
            <w:tcW w:w="5000" w:type="pct"/>
            <w:gridSpan w:val="4"/>
            <w:tcBorders>
              <w:top w:val="nil"/>
              <w:left w:val="nil"/>
              <w:bottom w:val="nil"/>
              <w:right w:val="nil"/>
            </w:tcBorders>
            <w:vAlign w:val="bottom"/>
            <w:hideMark/>
          </w:tcPr>
          <w:p w14:paraId="2955BC01" w14:textId="129D9F49"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 xml:space="preserve">In </w:t>
            </w:r>
            <w:r w:rsidR="00E06415">
              <w:rPr>
                <w:rFonts w:ascii="Calibri" w:eastAsia="Times New Roman" w:hAnsi="Calibri" w:cs="Calibri"/>
                <w:color w:val="000000"/>
                <w:kern w:val="0"/>
                <w14:ligatures w14:val="none"/>
              </w:rPr>
              <w:t>December</w:t>
            </w:r>
            <w:r w:rsidRPr="00082E66">
              <w:rPr>
                <w:rFonts w:ascii="Calibri" w:eastAsia="Times New Roman" w:hAnsi="Calibri" w:cs="Calibri"/>
                <w:color w:val="000000"/>
                <w:kern w:val="0"/>
                <w14:ligatures w14:val="none"/>
              </w:rPr>
              <w:t xml:space="preserve">, total LCFS charges incorporated in the price Californians pay for fuel rose </w:t>
            </w:r>
            <w:r w:rsidR="00E06415">
              <w:rPr>
                <w:rFonts w:ascii="Calibri" w:eastAsia="Times New Roman" w:hAnsi="Calibri" w:cs="Calibri"/>
                <w:color w:val="000000"/>
                <w:kern w:val="0"/>
                <w14:ligatures w14:val="none"/>
              </w:rPr>
              <w:t>1 cent</w:t>
            </w:r>
            <w:r w:rsidRPr="00082E66">
              <w:rPr>
                <w:rFonts w:ascii="Calibri" w:eastAsia="Times New Roman" w:hAnsi="Calibri" w:cs="Calibri"/>
                <w:color w:val="000000"/>
                <w:kern w:val="0"/>
                <w14:ligatures w14:val="none"/>
              </w:rPr>
              <w:t xml:space="preserve"> for gasoline but were unchanged for diesel, while the Cap &amp; Trade component </w:t>
            </w:r>
            <w:r w:rsidR="00E06415">
              <w:rPr>
                <w:rFonts w:ascii="Calibri" w:eastAsia="Times New Roman" w:hAnsi="Calibri" w:cs="Calibri"/>
                <w:color w:val="000000"/>
                <w:kern w:val="0"/>
                <w14:ligatures w14:val="none"/>
              </w:rPr>
              <w:t>showed a 1 cent improvement for both</w:t>
            </w:r>
            <w:r w:rsidRPr="00082E66">
              <w:rPr>
                <w:rFonts w:ascii="Calibri" w:eastAsia="Times New Roman" w:hAnsi="Calibri" w:cs="Calibri"/>
                <w:color w:val="000000"/>
                <w:kern w:val="0"/>
                <w14:ligatures w14:val="none"/>
              </w:rPr>
              <w:t xml:space="preserve">.  </w:t>
            </w:r>
            <w:r w:rsidR="00E06415">
              <w:rPr>
                <w:rFonts w:ascii="Calibri" w:eastAsia="Times New Roman" w:hAnsi="Calibri" w:cs="Calibri"/>
                <w:color w:val="000000"/>
                <w:kern w:val="0"/>
                <w14:ligatures w14:val="none"/>
              </w:rPr>
              <w:t xml:space="preserve">Combined charges for both fuels were unchanged.  </w:t>
            </w:r>
            <w:r w:rsidRPr="00082E66">
              <w:rPr>
                <w:rFonts w:ascii="Calibri" w:eastAsia="Times New Roman" w:hAnsi="Calibri" w:cs="Calibri"/>
                <w:color w:val="000000"/>
                <w:kern w:val="0"/>
                <w14:ligatures w14:val="none"/>
              </w:rPr>
              <w:t>The costs shown in the table are for the penultimate month-to-date numbers from the OPIS Carbon Market Report, adjusted to incorporate state and local sales tax to account for the full additional costs imposed by these regulatory fees on fuel buyers.  Certain Data or Information Provided By: Oil Price Information Service, LLC. Distribution of OPIS data without permission from OPIS is prohibited.</w:t>
            </w:r>
          </w:p>
        </w:tc>
      </w:tr>
      <w:tr w:rsidR="00082E66" w:rsidRPr="00082E66" w14:paraId="6B48E2F6" w14:textId="77777777" w:rsidTr="00E05C17">
        <w:trPr>
          <w:trHeight w:val="300"/>
        </w:trPr>
        <w:tc>
          <w:tcPr>
            <w:tcW w:w="1114" w:type="pct"/>
            <w:tcBorders>
              <w:top w:val="nil"/>
              <w:left w:val="nil"/>
              <w:bottom w:val="nil"/>
              <w:right w:val="nil"/>
            </w:tcBorders>
            <w:vAlign w:val="bottom"/>
            <w:hideMark/>
          </w:tcPr>
          <w:p w14:paraId="5F606A47" w14:textId="77777777" w:rsidR="00082E66" w:rsidRPr="00082E66" w:rsidRDefault="00082E66" w:rsidP="00082E66">
            <w:pPr>
              <w:rPr>
                <w:rFonts w:ascii="Calibri" w:eastAsia="Times New Roman" w:hAnsi="Calibri" w:cs="Calibri"/>
                <w:color w:val="000000"/>
                <w:kern w:val="0"/>
                <w14:ligatures w14:val="none"/>
              </w:rPr>
            </w:pPr>
          </w:p>
        </w:tc>
        <w:tc>
          <w:tcPr>
            <w:tcW w:w="2462" w:type="pct"/>
            <w:tcBorders>
              <w:top w:val="nil"/>
              <w:left w:val="nil"/>
              <w:bottom w:val="nil"/>
              <w:right w:val="nil"/>
            </w:tcBorders>
            <w:noWrap/>
            <w:vAlign w:val="bottom"/>
            <w:hideMark/>
          </w:tcPr>
          <w:p w14:paraId="10DA1AAF"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noWrap/>
            <w:vAlign w:val="bottom"/>
            <w:hideMark/>
          </w:tcPr>
          <w:p w14:paraId="1A3E6CD7"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67E22F99"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0938EF36" w14:textId="77777777" w:rsidTr="00E06415">
        <w:trPr>
          <w:trHeight w:val="1530"/>
        </w:trPr>
        <w:tc>
          <w:tcPr>
            <w:tcW w:w="5000" w:type="pct"/>
            <w:gridSpan w:val="4"/>
            <w:tcBorders>
              <w:top w:val="nil"/>
              <w:left w:val="nil"/>
              <w:bottom w:val="nil"/>
              <w:right w:val="nil"/>
            </w:tcBorders>
            <w:hideMark/>
          </w:tcPr>
          <w:p w14:paraId="14030096" w14:textId="3DC5EA60" w:rsid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 xml:space="preserve">Combining the OPIS data (without the sales tax component) with the previous Energy Commission estimates, </w:t>
            </w:r>
            <w:r w:rsidR="00E06415">
              <w:rPr>
                <w:rFonts w:ascii="Calibri" w:eastAsia="Times New Roman" w:hAnsi="Calibri" w:cs="Calibri"/>
                <w:color w:val="000000"/>
                <w:kern w:val="0"/>
                <w14:ligatures w14:val="none"/>
              </w:rPr>
              <w:t>both charges have shown relative stability in the past few months</w:t>
            </w:r>
            <w:r w:rsidRPr="00082E66">
              <w:rPr>
                <w:rFonts w:ascii="Calibri" w:eastAsia="Times New Roman" w:hAnsi="Calibri" w:cs="Calibri"/>
                <w:color w:val="000000"/>
                <w:kern w:val="0"/>
                <w14:ligatures w14:val="none"/>
              </w:rPr>
              <w:t xml:space="preserve">.  Note that both charts include both the Cap &amp; Trade components charged at the rack and levied on production from the OPIS data, and only the rack component in the Energy Commission data.  </w:t>
            </w:r>
          </w:p>
          <w:p w14:paraId="05B07B5D" w14:textId="77777777" w:rsidR="00E06415" w:rsidRDefault="00E06415" w:rsidP="00082E66">
            <w:pPr>
              <w:rPr>
                <w:rFonts w:ascii="Calibri" w:eastAsia="Times New Roman" w:hAnsi="Calibri" w:cs="Calibri"/>
                <w:color w:val="000000"/>
                <w:kern w:val="0"/>
                <w14:ligatures w14:val="none"/>
              </w:rPr>
            </w:pPr>
          </w:p>
          <w:p w14:paraId="718ECC67" w14:textId="0EC8763E" w:rsidR="00E06415" w:rsidRDefault="00E06415" w:rsidP="00082E66">
            <w:pP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drawing>
                <wp:inline distT="0" distB="0" distL="0" distR="0" wp14:anchorId="6162CBB5" wp14:editId="0D8051A2">
                  <wp:extent cx="4657725" cy="2755900"/>
                  <wp:effectExtent l="0" t="0" r="9525" b="6350"/>
                  <wp:docPr id="1850569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57725" cy="2755900"/>
                          </a:xfrm>
                          <a:prstGeom prst="rect">
                            <a:avLst/>
                          </a:prstGeom>
                          <a:noFill/>
                        </pic:spPr>
                      </pic:pic>
                    </a:graphicData>
                  </a:graphic>
                </wp:inline>
              </w:drawing>
            </w:r>
          </w:p>
          <w:p w14:paraId="750F3721" w14:textId="77777777" w:rsidR="00E06415" w:rsidRDefault="00E06415" w:rsidP="00082E66">
            <w:pPr>
              <w:rPr>
                <w:rFonts w:ascii="Calibri" w:eastAsia="Times New Roman" w:hAnsi="Calibri" w:cs="Calibri"/>
                <w:color w:val="000000"/>
                <w:kern w:val="0"/>
                <w14:ligatures w14:val="none"/>
              </w:rPr>
            </w:pPr>
          </w:p>
          <w:p w14:paraId="45FE7A8C" w14:textId="7C58FBA0" w:rsidR="00E06415" w:rsidRDefault="00E06415" w:rsidP="00082E66">
            <w:pP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lastRenderedPageBreak/>
              <w:drawing>
                <wp:inline distT="0" distB="0" distL="0" distR="0" wp14:anchorId="59DF0211" wp14:editId="498E8A35">
                  <wp:extent cx="4603115" cy="2755900"/>
                  <wp:effectExtent l="0" t="0" r="6985" b="6350"/>
                  <wp:docPr id="17778508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03115" cy="2755900"/>
                          </a:xfrm>
                          <a:prstGeom prst="rect">
                            <a:avLst/>
                          </a:prstGeom>
                          <a:noFill/>
                        </pic:spPr>
                      </pic:pic>
                    </a:graphicData>
                  </a:graphic>
                </wp:inline>
              </w:drawing>
            </w:r>
          </w:p>
          <w:p w14:paraId="0BA963C9" w14:textId="77777777" w:rsidR="00640922" w:rsidRDefault="00640922" w:rsidP="00E06415">
            <w:pPr>
              <w:rPr>
                <w:rFonts w:ascii="Calibri" w:eastAsia="Times New Roman" w:hAnsi="Calibri" w:cs="Calibri"/>
                <w:color w:val="000000"/>
                <w:kern w:val="0"/>
                <w14:ligatures w14:val="none"/>
              </w:rPr>
            </w:pPr>
          </w:p>
          <w:p w14:paraId="3FB87024" w14:textId="7192112A" w:rsidR="00E06415" w:rsidRDefault="00E06415" w:rsidP="00E06415">
            <w:pPr>
              <w:rPr>
                <w:rFonts w:ascii="Calibri" w:eastAsia="Times New Roman" w:hAnsi="Calibri" w:cs="Calibri"/>
                <w:color w:val="000000"/>
                <w:kern w:val="0"/>
                <w14:ligatures w14:val="none"/>
              </w:rPr>
            </w:pPr>
            <w:r w:rsidRPr="00EC7022">
              <w:rPr>
                <w:rFonts w:ascii="Calibri" w:eastAsia="Times New Roman" w:hAnsi="Calibri" w:cs="Calibri"/>
                <w:color w:val="000000"/>
                <w:kern w:val="0"/>
                <w14:ligatures w14:val="none"/>
              </w:rPr>
              <w:t xml:space="preserve">The cost effect of the amended LCFS regulations continues to be </w:t>
            </w:r>
            <w:r>
              <w:rPr>
                <w:rFonts w:ascii="Calibri" w:eastAsia="Times New Roman" w:hAnsi="Calibri" w:cs="Calibri"/>
                <w:color w:val="000000"/>
                <w:kern w:val="0"/>
                <w14:ligatures w14:val="none"/>
              </w:rPr>
              <w:t>moderated</w:t>
            </w:r>
            <w:r w:rsidRPr="00EC7022">
              <w:rPr>
                <w:rFonts w:ascii="Calibri" w:eastAsia="Times New Roman" w:hAnsi="Calibri" w:cs="Calibri"/>
                <w:color w:val="000000"/>
                <w:kern w:val="0"/>
                <w14:ligatures w14:val="none"/>
              </w:rPr>
              <w:t xml:space="preserve"> by the high level of banked credits.  Overall, credit prices have been largely level, showing only a marginal change since the end of July on a 4-week moving average basis</w:t>
            </w:r>
            <w:r>
              <w:rPr>
                <w:rFonts w:ascii="Calibri" w:eastAsia="Times New Roman" w:hAnsi="Calibri" w:cs="Calibri"/>
                <w:color w:val="000000"/>
                <w:kern w:val="0"/>
                <w14:ligatures w14:val="none"/>
              </w:rPr>
              <w:t>, with trade volumes and prices moderated further by the shift to winter formulation</w:t>
            </w:r>
            <w:r w:rsidRPr="00EC7022">
              <w:rPr>
                <w:rFonts w:ascii="Calibri" w:eastAsia="Times New Roman" w:hAnsi="Calibri" w:cs="Calibri"/>
                <w:color w:val="000000"/>
                <w:kern w:val="0"/>
                <w14:ligatures w14:val="none"/>
              </w:rPr>
              <w:t>.  This price moderation and the resulting stable impact on fuel prices stem from the continued run-up in banked credits, which reached their highest level yet of 43.0 million in the 2nd quarter just prior to the effective date of the amended regulations.  As the increasingly stricter standards under the amended regulations begin to eat away at this buffer, credit prices and the consequent costs to households and employers will begin trending back up towards historical levels.</w:t>
            </w:r>
          </w:p>
          <w:p w14:paraId="21B2FE6E" w14:textId="77777777" w:rsidR="00E06415" w:rsidRDefault="00E06415" w:rsidP="00E06415">
            <w:pPr>
              <w:rPr>
                <w:rFonts w:ascii="Calibri" w:eastAsia="Times New Roman" w:hAnsi="Calibri" w:cs="Calibri"/>
                <w:color w:val="000000"/>
                <w:kern w:val="0"/>
                <w14:ligatures w14:val="none"/>
              </w:rPr>
            </w:pPr>
          </w:p>
          <w:p w14:paraId="581403D3" w14:textId="1AB0F06C" w:rsidR="00E06415" w:rsidRDefault="00E06415" w:rsidP="00082E66">
            <w:pPr>
              <w:rPr>
                <w:rFonts w:ascii="Calibri" w:eastAsia="Times New Roman" w:hAnsi="Calibri" w:cs="Calibri"/>
                <w:color w:val="000000"/>
                <w:kern w:val="0"/>
                <w14:ligatures w14:val="none"/>
              </w:rPr>
            </w:pPr>
            <w:r>
              <w:rPr>
                <w:rFonts w:ascii="Calibri" w:eastAsia="Times New Roman" w:hAnsi="Calibri" w:cs="Calibri"/>
                <w:noProof/>
                <w:color w:val="000000"/>
                <w:kern w:val="0"/>
                <w14:ligatures w14:val="none"/>
              </w:rPr>
              <w:drawing>
                <wp:inline distT="0" distB="0" distL="0" distR="0" wp14:anchorId="10E1D233" wp14:editId="55C23F6E">
                  <wp:extent cx="4539022" cy="2918764"/>
                  <wp:effectExtent l="0" t="0" r="0" b="0"/>
                  <wp:docPr id="737130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57191" cy="2930447"/>
                          </a:xfrm>
                          <a:prstGeom prst="rect">
                            <a:avLst/>
                          </a:prstGeom>
                          <a:noFill/>
                        </pic:spPr>
                      </pic:pic>
                    </a:graphicData>
                  </a:graphic>
                </wp:inline>
              </w:drawing>
            </w:r>
          </w:p>
          <w:p w14:paraId="12F089F7" w14:textId="77777777" w:rsidR="005F4CB4" w:rsidRDefault="005F4CB4" w:rsidP="00082E66">
            <w:pPr>
              <w:rPr>
                <w:rFonts w:ascii="Calibri" w:eastAsia="Times New Roman" w:hAnsi="Calibri" w:cs="Calibri"/>
                <w:color w:val="000000"/>
                <w:kern w:val="0"/>
                <w14:ligatures w14:val="none"/>
              </w:rPr>
            </w:pPr>
          </w:p>
          <w:p w14:paraId="6637E429" w14:textId="484BFEBB" w:rsidR="00E06415" w:rsidRPr="00082E66" w:rsidRDefault="005F4CB4" w:rsidP="00640922">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lastRenderedPageBreak/>
              <w:t xml:space="preserve">In the most </w:t>
            </w:r>
            <w:hyperlink r:id="rId20" w:history="1">
              <w:r w:rsidRPr="005F4CB4">
                <w:rPr>
                  <w:rStyle w:val="Hyperlink"/>
                  <w:rFonts w:ascii="Calibri" w:eastAsia="Times New Roman" w:hAnsi="Calibri" w:cs="Calibri"/>
                  <w:kern w:val="0"/>
                  <w14:ligatures w14:val="none"/>
                </w:rPr>
                <w:t>recent auction</w:t>
              </w:r>
            </w:hyperlink>
            <w:r>
              <w:rPr>
                <w:rFonts w:ascii="Calibri" w:eastAsia="Times New Roman" w:hAnsi="Calibri" w:cs="Calibri"/>
                <w:color w:val="000000"/>
                <w:kern w:val="0"/>
                <w14:ligatures w14:val="none"/>
              </w:rPr>
              <w:t xml:space="preserve"> of Cap &amp; Trade credits held November 19, all credits offered by CARB were sold, resulting in proceeds of $844.2 million.  To date, the auctions have had total proceeds—ultimately paid by California households and employers—of $1.7 billion in the fiscal year.  </w:t>
            </w:r>
          </w:p>
        </w:tc>
      </w:tr>
      <w:tr w:rsidR="00082E66" w:rsidRPr="00082E66" w14:paraId="0475BC75" w14:textId="77777777" w:rsidTr="00E05C17">
        <w:trPr>
          <w:trHeight w:val="450"/>
        </w:trPr>
        <w:tc>
          <w:tcPr>
            <w:tcW w:w="1114" w:type="pct"/>
            <w:tcBorders>
              <w:top w:val="nil"/>
              <w:left w:val="nil"/>
              <w:bottom w:val="nil"/>
              <w:right w:val="nil"/>
            </w:tcBorders>
            <w:vAlign w:val="bottom"/>
          </w:tcPr>
          <w:p w14:paraId="46C53116" w14:textId="74ABCF3B" w:rsidR="00082E66" w:rsidRPr="00082E66" w:rsidRDefault="00082E66" w:rsidP="00082E66">
            <w:pPr>
              <w:rPr>
                <w:rFonts w:ascii="Times New Roman" w:eastAsia="Times New Roman" w:hAnsi="Times New Roman" w:cs="Times New Roman"/>
                <w:kern w:val="0"/>
                <w:sz w:val="20"/>
                <w:szCs w:val="20"/>
                <w14:ligatures w14:val="none"/>
              </w:rPr>
            </w:pPr>
          </w:p>
        </w:tc>
        <w:tc>
          <w:tcPr>
            <w:tcW w:w="2462" w:type="pct"/>
            <w:tcBorders>
              <w:top w:val="nil"/>
              <w:left w:val="nil"/>
              <w:bottom w:val="nil"/>
              <w:right w:val="nil"/>
            </w:tcBorders>
            <w:noWrap/>
            <w:vAlign w:val="bottom"/>
          </w:tcPr>
          <w:p w14:paraId="15F8E50C"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noWrap/>
            <w:vAlign w:val="bottom"/>
            <w:hideMark/>
          </w:tcPr>
          <w:p w14:paraId="0877BEDA"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74E15B3A"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1F6F196A" w14:textId="77777777" w:rsidTr="00E06415">
        <w:trPr>
          <w:trHeight w:val="540"/>
        </w:trPr>
        <w:tc>
          <w:tcPr>
            <w:tcW w:w="5000" w:type="pct"/>
            <w:gridSpan w:val="4"/>
            <w:tcBorders>
              <w:top w:val="nil"/>
              <w:left w:val="nil"/>
              <w:bottom w:val="nil"/>
              <w:right w:val="nil"/>
            </w:tcBorders>
            <w:vAlign w:val="bottom"/>
            <w:hideMark/>
          </w:tcPr>
          <w:p w14:paraId="33CB75B3" w14:textId="77777777" w:rsidR="00082E66" w:rsidRPr="00082E66" w:rsidRDefault="00082E66" w:rsidP="00082E66">
            <w:pPr>
              <w:rPr>
                <w:rFonts w:ascii="Georgia" w:eastAsia="Times New Roman" w:hAnsi="Georgia" w:cs="Calibri"/>
                <w:b/>
                <w:bCs/>
                <w:color w:val="000000"/>
                <w:kern w:val="0"/>
                <w:sz w:val="36"/>
                <w:szCs w:val="36"/>
                <w14:ligatures w14:val="none"/>
              </w:rPr>
            </w:pPr>
            <w:r w:rsidRPr="00082E66">
              <w:rPr>
                <w:rFonts w:ascii="Georgia" w:eastAsia="Times New Roman" w:hAnsi="Georgia" w:cs="Calibri"/>
                <w:b/>
                <w:bCs/>
                <w:color w:val="000000"/>
                <w:kern w:val="0"/>
                <w:sz w:val="36"/>
                <w:szCs w:val="36"/>
                <w14:ligatures w14:val="none"/>
              </w:rPr>
              <w:t>California vs. Rest of US Diesel Price</w:t>
            </w:r>
          </w:p>
        </w:tc>
      </w:tr>
      <w:tr w:rsidR="00082E66" w:rsidRPr="00082E66" w14:paraId="72CF1A11" w14:textId="77777777" w:rsidTr="00E05C17">
        <w:trPr>
          <w:trHeight w:val="300"/>
        </w:trPr>
        <w:tc>
          <w:tcPr>
            <w:tcW w:w="1114" w:type="pct"/>
            <w:tcBorders>
              <w:top w:val="nil"/>
              <w:left w:val="nil"/>
              <w:bottom w:val="nil"/>
              <w:right w:val="nil"/>
            </w:tcBorders>
            <w:vAlign w:val="bottom"/>
            <w:hideMark/>
          </w:tcPr>
          <w:p w14:paraId="042EB2A1" w14:textId="77777777" w:rsidR="00082E66" w:rsidRPr="00082E66" w:rsidRDefault="00082E66" w:rsidP="00082E66">
            <w:pPr>
              <w:rPr>
                <w:rFonts w:ascii="Georgia" w:eastAsia="Times New Roman" w:hAnsi="Georgia" w:cs="Calibri"/>
                <w:b/>
                <w:bCs/>
                <w:color w:val="000000"/>
                <w:kern w:val="0"/>
                <w:sz w:val="36"/>
                <w:szCs w:val="36"/>
                <w14:ligatures w14:val="none"/>
              </w:rPr>
            </w:pPr>
          </w:p>
        </w:tc>
        <w:tc>
          <w:tcPr>
            <w:tcW w:w="2462" w:type="pct"/>
            <w:tcBorders>
              <w:top w:val="nil"/>
              <w:left w:val="nil"/>
              <w:bottom w:val="nil"/>
              <w:right w:val="nil"/>
            </w:tcBorders>
            <w:vAlign w:val="bottom"/>
            <w:hideMark/>
          </w:tcPr>
          <w:p w14:paraId="0E878A08"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00C70996"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6EC76734"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7083A09C" w14:textId="77777777" w:rsidTr="00E05C17">
        <w:trPr>
          <w:trHeight w:val="1200"/>
        </w:trPr>
        <w:tc>
          <w:tcPr>
            <w:tcW w:w="1114" w:type="pct"/>
            <w:tcBorders>
              <w:top w:val="nil"/>
              <w:left w:val="nil"/>
              <w:bottom w:val="nil"/>
              <w:right w:val="nil"/>
            </w:tcBorders>
            <w:vAlign w:val="bottom"/>
            <w:hideMark/>
          </w:tcPr>
          <w:p w14:paraId="0E280460" w14:textId="77777777" w:rsidR="00082E66" w:rsidRPr="00082E66" w:rsidRDefault="00082E66" w:rsidP="00082E66">
            <w:pPr>
              <w:jc w:val="center"/>
              <w:rPr>
                <w:rFonts w:ascii="Calibri" w:eastAsia="Times New Roman" w:hAnsi="Calibri" w:cs="Calibri"/>
                <w:b/>
                <w:bCs/>
                <w:color w:val="4F81BD"/>
                <w:kern w:val="0"/>
                <w:sz w:val="63"/>
                <w:szCs w:val="63"/>
                <w14:ligatures w14:val="none"/>
              </w:rPr>
            </w:pPr>
            <w:r w:rsidRPr="00082E66">
              <w:rPr>
                <w:rFonts w:ascii="Calibri" w:eastAsia="Times New Roman" w:hAnsi="Calibri" w:cs="Calibri"/>
                <w:b/>
                <w:bCs/>
                <w:color w:val="4F81BD"/>
                <w:kern w:val="0"/>
                <w:sz w:val="63"/>
                <w:szCs w:val="63"/>
                <w14:ligatures w14:val="none"/>
              </w:rPr>
              <w:t>$1.47</w:t>
            </w:r>
          </w:p>
        </w:tc>
        <w:tc>
          <w:tcPr>
            <w:tcW w:w="2462" w:type="pct"/>
            <w:tcBorders>
              <w:top w:val="nil"/>
              <w:left w:val="nil"/>
              <w:bottom w:val="nil"/>
              <w:right w:val="nil"/>
            </w:tcBorders>
            <w:vAlign w:val="center"/>
            <w:hideMark/>
          </w:tcPr>
          <w:p w14:paraId="303C96A4" w14:textId="03FD892D"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The December average price per gallon of diesel in California eased 18 cents from November to $4.97.  The California regulatory and tax premium above the average for the US other than California ($3.51) eased to $1.47, a 41.8% difference.</w:t>
            </w:r>
          </w:p>
        </w:tc>
        <w:tc>
          <w:tcPr>
            <w:tcW w:w="788" w:type="pct"/>
            <w:tcBorders>
              <w:top w:val="nil"/>
              <w:left w:val="nil"/>
              <w:bottom w:val="nil"/>
              <w:right w:val="nil"/>
            </w:tcBorders>
            <w:vAlign w:val="center"/>
            <w:hideMark/>
          </w:tcPr>
          <w:p w14:paraId="1F6BDB29"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vAlign w:val="center"/>
            <w:hideMark/>
          </w:tcPr>
          <w:p w14:paraId="07C3759C"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76F33E12" w14:textId="77777777" w:rsidTr="00E05C17">
        <w:trPr>
          <w:trHeight w:val="900"/>
        </w:trPr>
        <w:tc>
          <w:tcPr>
            <w:tcW w:w="1114" w:type="pct"/>
            <w:tcBorders>
              <w:top w:val="nil"/>
              <w:left w:val="nil"/>
              <w:bottom w:val="nil"/>
              <w:right w:val="nil"/>
            </w:tcBorders>
            <w:vAlign w:val="bottom"/>
            <w:hideMark/>
          </w:tcPr>
          <w:p w14:paraId="04B570B2" w14:textId="77777777" w:rsidR="00082E66" w:rsidRPr="00082E66" w:rsidRDefault="00082E66" w:rsidP="00082E66">
            <w:pPr>
              <w:jc w:val="cente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Price Per Gallon</w:t>
            </w:r>
            <w:r w:rsidRPr="00082E66">
              <w:rPr>
                <w:rFonts w:ascii="Calibri" w:eastAsia="Times New Roman" w:hAnsi="Calibri" w:cs="Calibri"/>
                <w:color w:val="000000"/>
                <w:kern w:val="0"/>
                <w14:ligatures w14:val="none"/>
              </w:rPr>
              <w:br/>
              <w:t>Above Other States</w:t>
            </w:r>
            <w:r w:rsidRPr="00082E66">
              <w:rPr>
                <w:rFonts w:ascii="Calibri" w:eastAsia="Times New Roman" w:hAnsi="Calibri" w:cs="Calibri"/>
                <w:color w:val="000000"/>
                <w:kern w:val="0"/>
                <w14:ligatures w14:val="none"/>
              </w:rPr>
              <w:br/>
              <w:t xml:space="preserve">(CA Average) </w:t>
            </w:r>
          </w:p>
        </w:tc>
        <w:tc>
          <w:tcPr>
            <w:tcW w:w="2462" w:type="pct"/>
            <w:tcBorders>
              <w:top w:val="nil"/>
              <w:left w:val="nil"/>
              <w:bottom w:val="nil"/>
              <w:right w:val="nil"/>
            </w:tcBorders>
            <w:vAlign w:val="center"/>
            <w:hideMark/>
          </w:tcPr>
          <w:p w14:paraId="3FB0FF0E" w14:textId="77777777" w:rsidR="00082E66" w:rsidRPr="00082E66" w:rsidRDefault="00082E66" w:rsidP="00082E66">
            <w:pPr>
              <w:jc w:val="center"/>
              <w:rPr>
                <w:rFonts w:ascii="Calibri" w:eastAsia="Times New Roman" w:hAnsi="Calibri" w:cs="Calibri"/>
                <w:color w:val="000000"/>
                <w:kern w:val="0"/>
                <w14:ligatures w14:val="none"/>
              </w:rPr>
            </w:pPr>
          </w:p>
        </w:tc>
        <w:tc>
          <w:tcPr>
            <w:tcW w:w="788" w:type="pct"/>
            <w:tcBorders>
              <w:top w:val="nil"/>
              <w:left w:val="nil"/>
              <w:bottom w:val="nil"/>
              <w:right w:val="nil"/>
            </w:tcBorders>
            <w:vAlign w:val="center"/>
            <w:hideMark/>
          </w:tcPr>
          <w:p w14:paraId="0435A43E"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vAlign w:val="center"/>
            <w:hideMark/>
          </w:tcPr>
          <w:p w14:paraId="18EA7E12"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19613B20" w14:textId="77777777" w:rsidTr="00E05C17">
        <w:trPr>
          <w:trHeight w:val="300"/>
        </w:trPr>
        <w:tc>
          <w:tcPr>
            <w:tcW w:w="1114" w:type="pct"/>
            <w:tcBorders>
              <w:top w:val="nil"/>
              <w:left w:val="nil"/>
              <w:bottom w:val="nil"/>
              <w:right w:val="nil"/>
            </w:tcBorders>
            <w:vAlign w:val="bottom"/>
            <w:hideMark/>
          </w:tcPr>
          <w:p w14:paraId="6CA127F4"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2462" w:type="pct"/>
            <w:tcBorders>
              <w:top w:val="nil"/>
              <w:left w:val="nil"/>
              <w:bottom w:val="nil"/>
              <w:right w:val="nil"/>
            </w:tcBorders>
            <w:vAlign w:val="bottom"/>
            <w:hideMark/>
          </w:tcPr>
          <w:p w14:paraId="7D86BFBC"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3576987E"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21C4E3BB"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3D6041FC" w14:textId="77777777" w:rsidTr="00E05C17">
        <w:trPr>
          <w:trHeight w:val="810"/>
        </w:trPr>
        <w:tc>
          <w:tcPr>
            <w:tcW w:w="1114" w:type="pct"/>
            <w:tcBorders>
              <w:top w:val="nil"/>
              <w:left w:val="nil"/>
              <w:bottom w:val="nil"/>
              <w:right w:val="nil"/>
            </w:tcBorders>
            <w:vAlign w:val="bottom"/>
            <w:hideMark/>
          </w:tcPr>
          <w:p w14:paraId="42260B53" w14:textId="77777777" w:rsidR="00082E66" w:rsidRPr="00082E66" w:rsidRDefault="00082E66" w:rsidP="00082E66">
            <w:pPr>
              <w:jc w:val="center"/>
              <w:rPr>
                <w:rFonts w:ascii="Calibri" w:eastAsia="Times New Roman" w:hAnsi="Calibri" w:cs="Calibri"/>
                <w:b/>
                <w:bCs/>
                <w:color w:val="FF0000"/>
                <w:kern w:val="0"/>
                <w:sz w:val="63"/>
                <w:szCs w:val="63"/>
                <w14:ligatures w14:val="none"/>
              </w:rPr>
            </w:pPr>
            <w:r w:rsidRPr="00082E66">
              <w:rPr>
                <w:rFonts w:ascii="Calibri" w:eastAsia="Times New Roman" w:hAnsi="Calibri" w:cs="Calibri"/>
                <w:b/>
                <w:bCs/>
                <w:color w:val="FF0000"/>
                <w:kern w:val="0"/>
                <w:sz w:val="63"/>
                <w:szCs w:val="63"/>
                <w14:ligatures w14:val="none"/>
              </w:rPr>
              <w:t>1st</w:t>
            </w:r>
          </w:p>
        </w:tc>
        <w:tc>
          <w:tcPr>
            <w:tcW w:w="2462" w:type="pct"/>
            <w:tcBorders>
              <w:top w:val="nil"/>
              <w:left w:val="nil"/>
              <w:bottom w:val="nil"/>
              <w:right w:val="nil"/>
            </w:tcBorders>
            <w:vAlign w:val="center"/>
            <w:hideMark/>
          </w:tcPr>
          <w:p w14:paraId="488D3AAE"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In December, California had the highest diesel price among the contiguous states and DC.</w:t>
            </w:r>
          </w:p>
        </w:tc>
        <w:tc>
          <w:tcPr>
            <w:tcW w:w="788" w:type="pct"/>
            <w:tcBorders>
              <w:top w:val="nil"/>
              <w:left w:val="nil"/>
              <w:bottom w:val="nil"/>
              <w:right w:val="nil"/>
            </w:tcBorders>
            <w:vAlign w:val="center"/>
            <w:hideMark/>
          </w:tcPr>
          <w:p w14:paraId="6D1102A5"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vAlign w:val="center"/>
            <w:hideMark/>
          </w:tcPr>
          <w:p w14:paraId="409F6130"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4A470E98" w14:textId="77777777" w:rsidTr="00E05C17">
        <w:trPr>
          <w:trHeight w:val="600"/>
        </w:trPr>
        <w:tc>
          <w:tcPr>
            <w:tcW w:w="1114" w:type="pct"/>
            <w:tcBorders>
              <w:top w:val="nil"/>
              <w:left w:val="nil"/>
              <w:bottom w:val="nil"/>
              <w:right w:val="nil"/>
            </w:tcBorders>
            <w:vAlign w:val="bottom"/>
            <w:hideMark/>
          </w:tcPr>
          <w:p w14:paraId="30D02854" w14:textId="77777777" w:rsidR="00082E66" w:rsidRPr="00082E66" w:rsidRDefault="00082E66" w:rsidP="00082E66">
            <w:pPr>
              <w:jc w:val="cente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 xml:space="preserve">Ranked by </w:t>
            </w:r>
            <w:r w:rsidRPr="00082E66">
              <w:rPr>
                <w:rFonts w:ascii="Calibri" w:eastAsia="Times New Roman" w:hAnsi="Calibri" w:cs="Calibri"/>
                <w:color w:val="000000"/>
                <w:kern w:val="0"/>
                <w14:ligatures w14:val="none"/>
              </w:rPr>
              <w:br/>
              <w:t>price</w:t>
            </w:r>
          </w:p>
        </w:tc>
        <w:tc>
          <w:tcPr>
            <w:tcW w:w="2462" w:type="pct"/>
            <w:tcBorders>
              <w:top w:val="nil"/>
              <w:left w:val="nil"/>
              <w:bottom w:val="nil"/>
              <w:right w:val="nil"/>
            </w:tcBorders>
            <w:vAlign w:val="center"/>
            <w:hideMark/>
          </w:tcPr>
          <w:p w14:paraId="3CA7F8CE" w14:textId="77777777" w:rsidR="00082E66" w:rsidRPr="00082E66" w:rsidRDefault="00082E66" w:rsidP="00082E66">
            <w:pPr>
              <w:jc w:val="center"/>
              <w:rPr>
                <w:rFonts w:ascii="Calibri" w:eastAsia="Times New Roman" w:hAnsi="Calibri" w:cs="Calibri"/>
                <w:color w:val="000000"/>
                <w:kern w:val="0"/>
                <w14:ligatures w14:val="none"/>
              </w:rPr>
            </w:pPr>
          </w:p>
        </w:tc>
        <w:tc>
          <w:tcPr>
            <w:tcW w:w="788" w:type="pct"/>
            <w:tcBorders>
              <w:top w:val="nil"/>
              <w:left w:val="nil"/>
              <w:bottom w:val="nil"/>
              <w:right w:val="nil"/>
            </w:tcBorders>
            <w:vAlign w:val="bottom"/>
            <w:hideMark/>
          </w:tcPr>
          <w:p w14:paraId="1300CBF5"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209D36AB"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3C0E0063" w14:textId="77777777" w:rsidTr="00E05C17">
        <w:trPr>
          <w:trHeight w:val="300"/>
        </w:trPr>
        <w:tc>
          <w:tcPr>
            <w:tcW w:w="1114" w:type="pct"/>
            <w:tcBorders>
              <w:top w:val="nil"/>
              <w:left w:val="nil"/>
              <w:bottom w:val="nil"/>
              <w:right w:val="nil"/>
            </w:tcBorders>
            <w:vAlign w:val="bottom"/>
            <w:hideMark/>
          </w:tcPr>
          <w:p w14:paraId="2307BA35"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2462" w:type="pct"/>
            <w:tcBorders>
              <w:top w:val="nil"/>
              <w:left w:val="nil"/>
              <w:bottom w:val="nil"/>
              <w:right w:val="nil"/>
            </w:tcBorders>
            <w:vAlign w:val="bottom"/>
            <w:hideMark/>
          </w:tcPr>
          <w:p w14:paraId="7A7F46B0"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center"/>
            <w:hideMark/>
          </w:tcPr>
          <w:p w14:paraId="7FC7BA0E"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vAlign w:val="center"/>
            <w:hideMark/>
          </w:tcPr>
          <w:p w14:paraId="2C39AF7C"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0E15594B" w14:textId="77777777" w:rsidTr="00E06415">
        <w:trPr>
          <w:trHeight w:val="630"/>
        </w:trPr>
        <w:tc>
          <w:tcPr>
            <w:tcW w:w="5000" w:type="pct"/>
            <w:gridSpan w:val="4"/>
            <w:tcBorders>
              <w:top w:val="nil"/>
              <w:left w:val="nil"/>
              <w:bottom w:val="nil"/>
              <w:right w:val="nil"/>
            </w:tcBorders>
            <w:vAlign w:val="bottom"/>
            <w:hideMark/>
          </w:tcPr>
          <w:p w14:paraId="0031B5BA" w14:textId="77777777" w:rsidR="00082E66" w:rsidRPr="00082E66" w:rsidRDefault="00082E66" w:rsidP="00082E66">
            <w:pPr>
              <w:rPr>
                <w:rFonts w:ascii="Georgia" w:eastAsia="Times New Roman" w:hAnsi="Georgia" w:cs="Calibri"/>
                <w:b/>
                <w:bCs/>
                <w:color w:val="000000"/>
                <w:kern w:val="0"/>
                <w:sz w:val="36"/>
                <w:szCs w:val="36"/>
                <w14:ligatures w14:val="none"/>
              </w:rPr>
            </w:pPr>
            <w:r w:rsidRPr="00082E66">
              <w:rPr>
                <w:rFonts w:ascii="Georgia" w:eastAsia="Times New Roman" w:hAnsi="Georgia" w:cs="Calibri"/>
                <w:b/>
                <w:bCs/>
                <w:color w:val="000000"/>
                <w:kern w:val="0"/>
                <w:sz w:val="36"/>
                <w:szCs w:val="36"/>
                <w14:ligatures w14:val="none"/>
              </w:rPr>
              <w:t xml:space="preserve">Range Between Highest and Lowest Prices by Region </w:t>
            </w:r>
          </w:p>
        </w:tc>
      </w:tr>
      <w:tr w:rsidR="00082E66" w:rsidRPr="00082E66" w14:paraId="7CEC8CEA" w14:textId="77777777" w:rsidTr="00E05C17">
        <w:trPr>
          <w:trHeight w:val="300"/>
        </w:trPr>
        <w:tc>
          <w:tcPr>
            <w:tcW w:w="1114" w:type="pct"/>
            <w:tcBorders>
              <w:top w:val="nil"/>
              <w:left w:val="nil"/>
              <w:bottom w:val="nil"/>
              <w:right w:val="nil"/>
            </w:tcBorders>
            <w:vAlign w:val="bottom"/>
            <w:hideMark/>
          </w:tcPr>
          <w:p w14:paraId="640F58FA" w14:textId="77777777" w:rsidR="00082E66" w:rsidRPr="00082E66" w:rsidRDefault="00082E66" w:rsidP="00082E66">
            <w:pPr>
              <w:rPr>
                <w:rFonts w:ascii="Georgia" w:eastAsia="Times New Roman" w:hAnsi="Georgia" w:cs="Calibri"/>
                <w:b/>
                <w:bCs/>
                <w:color w:val="000000"/>
                <w:kern w:val="0"/>
                <w:sz w:val="36"/>
                <w:szCs w:val="36"/>
                <w14:ligatures w14:val="none"/>
              </w:rPr>
            </w:pPr>
          </w:p>
        </w:tc>
        <w:tc>
          <w:tcPr>
            <w:tcW w:w="2462" w:type="pct"/>
            <w:tcBorders>
              <w:top w:val="nil"/>
              <w:left w:val="nil"/>
              <w:bottom w:val="nil"/>
              <w:right w:val="nil"/>
            </w:tcBorders>
            <w:noWrap/>
            <w:vAlign w:val="bottom"/>
            <w:hideMark/>
          </w:tcPr>
          <w:p w14:paraId="3BD56903"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052A5D41"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45482CD4"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07AD8928" w14:textId="77777777" w:rsidTr="00E05C17">
        <w:trPr>
          <w:trHeight w:val="1200"/>
        </w:trPr>
        <w:tc>
          <w:tcPr>
            <w:tcW w:w="1114" w:type="pct"/>
            <w:tcBorders>
              <w:top w:val="nil"/>
              <w:left w:val="nil"/>
              <w:bottom w:val="nil"/>
              <w:right w:val="nil"/>
            </w:tcBorders>
            <w:vAlign w:val="bottom"/>
            <w:hideMark/>
          </w:tcPr>
          <w:p w14:paraId="19E6ED4A" w14:textId="77777777" w:rsidR="00082E66" w:rsidRPr="00082E66" w:rsidRDefault="00082E66" w:rsidP="00082E66">
            <w:pPr>
              <w:jc w:val="center"/>
              <w:rPr>
                <w:rFonts w:ascii="Calibri" w:eastAsia="Times New Roman" w:hAnsi="Calibri" w:cs="Calibri"/>
                <w:b/>
                <w:bCs/>
                <w:color w:val="4F81BD"/>
                <w:kern w:val="0"/>
                <w:sz w:val="63"/>
                <w:szCs w:val="63"/>
                <w14:ligatures w14:val="none"/>
              </w:rPr>
            </w:pPr>
            <w:r w:rsidRPr="00082E66">
              <w:rPr>
                <w:rFonts w:ascii="Calibri" w:eastAsia="Times New Roman" w:hAnsi="Calibri" w:cs="Calibri"/>
                <w:b/>
                <w:bCs/>
                <w:color w:val="4F81BD"/>
                <w:kern w:val="0"/>
                <w:sz w:val="63"/>
                <w:szCs w:val="63"/>
                <w14:ligatures w14:val="none"/>
              </w:rPr>
              <w:t>$1.75</w:t>
            </w:r>
          </w:p>
        </w:tc>
        <w:tc>
          <w:tcPr>
            <w:tcW w:w="2462" w:type="pct"/>
            <w:tcBorders>
              <w:top w:val="nil"/>
              <w:left w:val="nil"/>
              <w:bottom w:val="nil"/>
              <w:right w:val="nil"/>
            </w:tcBorders>
            <w:vAlign w:val="center"/>
            <w:hideMark/>
          </w:tcPr>
          <w:p w14:paraId="4B29E229"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 xml:space="preserve">The cost premium above the US (other than California) average price for regular gasoline ranged from $1.44 in the Central Valley Region (average December price of $4.20), to $1.75 in San Diego/Imperial Region (average December price of $4.51). </w:t>
            </w:r>
          </w:p>
        </w:tc>
        <w:tc>
          <w:tcPr>
            <w:tcW w:w="788" w:type="pct"/>
            <w:tcBorders>
              <w:top w:val="nil"/>
              <w:left w:val="nil"/>
              <w:bottom w:val="nil"/>
              <w:right w:val="nil"/>
            </w:tcBorders>
            <w:vAlign w:val="center"/>
            <w:hideMark/>
          </w:tcPr>
          <w:p w14:paraId="20D6142A"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vAlign w:val="center"/>
            <w:hideMark/>
          </w:tcPr>
          <w:p w14:paraId="4FD05DDB"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34660485" w14:textId="77777777" w:rsidTr="00E05C17">
        <w:trPr>
          <w:trHeight w:val="1200"/>
        </w:trPr>
        <w:tc>
          <w:tcPr>
            <w:tcW w:w="1114" w:type="pct"/>
            <w:tcBorders>
              <w:top w:val="nil"/>
              <w:left w:val="nil"/>
              <w:bottom w:val="nil"/>
              <w:right w:val="nil"/>
            </w:tcBorders>
            <w:vAlign w:val="bottom"/>
            <w:hideMark/>
          </w:tcPr>
          <w:p w14:paraId="27737AE8" w14:textId="77777777" w:rsidR="00082E66" w:rsidRPr="00082E66" w:rsidRDefault="00082E66" w:rsidP="00082E66">
            <w:pPr>
              <w:jc w:val="cente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Price per Gallon above Other States (San Diego/Imperial Region)</w:t>
            </w:r>
          </w:p>
        </w:tc>
        <w:tc>
          <w:tcPr>
            <w:tcW w:w="2462" w:type="pct"/>
            <w:tcBorders>
              <w:top w:val="nil"/>
              <w:left w:val="nil"/>
              <w:bottom w:val="nil"/>
              <w:right w:val="nil"/>
            </w:tcBorders>
            <w:vAlign w:val="center"/>
            <w:hideMark/>
          </w:tcPr>
          <w:p w14:paraId="143ED2AD" w14:textId="77777777" w:rsidR="00082E66" w:rsidRPr="00082E66" w:rsidRDefault="00082E66" w:rsidP="00082E66">
            <w:pPr>
              <w:jc w:val="center"/>
              <w:rPr>
                <w:rFonts w:ascii="Calibri" w:eastAsia="Times New Roman" w:hAnsi="Calibri" w:cs="Calibri"/>
                <w:color w:val="000000"/>
                <w:kern w:val="0"/>
                <w14:ligatures w14:val="none"/>
              </w:rPr>
            </w:pPr>
          </w:p>
        </w:tc>
        <w:tc>
          <w:tcPr>
            <w:tcW w:w="788" w:type="pct"/>
            <w:tcBorders>
              <w:top w:val="nil"/>
              <w:left w:val="nil"/>
              <w:bottom w:val="nil"/>
              <w:right w:val="nil"/>
            </w:tcBorders>
            <w:vAlign w:val="center"/>
            <w:hideMark/>
          </w:tcPr>
          <w:p w14:paraId="4924F9C2"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vAlign w:val="center"/>
            <w:hideMark/>
          </w:tcPr>
          <w:p w14:paraId="2A8E692F"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19642960" w14:textId="77777777" w:rsidTr="00E05C17">
        <w:trPr>
          <w:trHeight w:val="300"/>
        </w:trPr>
        <w:tc>
          <w:tcPr>
            <w:tcW w:w="1114" w:type="pct"/>
            <w:tcBorders>
              <w:top w:val="nil"/>
              <w:left w:val="nil"/>
              <w:bottom w:val="nil"/>
              <w:right w:val="nil"/>
            </w:tcBorders>
            <w:vAlign w:val="bottom"/>
            <w:hideMark/>
          </w:tcPr>
          <w:p w14:paraId="48C830FE"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2462" w:type="pct"/>
            <w:tcBorders>
              <w:top w:val="nil"/>
              <w:left w:val="nil"/>
              <w:bottom w:val="nil"/>
              <w:right w:val="nil"/>
            </w:tcBorders>
            <w:vAlign w:val="bottom"/>
            <w:hideMark/>
          </w:tcPr>
          <w:p w14:paraId="430C4F79"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4A51AE92" w14:textId="77777777" w:rsidR="00082E66" w:rsidRPr="00082E66" w:rsidRDefault="00082E66" w:rsidP="00082E66">
            <w:pPr>
              <w:jc w:val="cente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vAlign w:val="bottom"/>
            <w:hideMark/>
          </w:tcPr>
          <w:p w14:paraId="3AA2FA2B" w14:textId="77777777" w:rsidR="00082E66" w:rsidRPr="00082E66" w:rsidRDefault="00082E66" w:rsidP="00082E66">
            <w:pPr>
              <w:jc w:val="center"/>
              <w:rPr>
                <w:rFonts w:ascii="Times New Roman" w:eastAsia="Times New Roman" w:hAnsi="Times New Roman" w:cs="Times New Roman"/>
                <w:kern w:val="0"/>
                <w:sz w:val="20"/>
                <w:szCs w:val="20"/>
                <w14:ligatures w14:val="none"/>
              </w:rPr>
            </w:pPr>
          </w:p>
        </w:tc>
      </w:tr>
      <w:tr w:rsidR="00082E66" w:rsidRPr="00082E66" w14:paraId="75F59122" w14:textId="77777777" w:rsidTr="00E06415">
        <w:trPr>
          <w:trHeight w:val="645"/>
        </w:trPr>
        <w:tc>
          <w:tcPr>
            <w:tcW w:w="5000" w:type="pct"/>
            <w:gridSpan w:val="4"/>
            <w:tcBorders>
              <w:top w:val="nil"/>
              <w:left w:val="nil"/>
              <w:bottom w:val="nil"/>
              <w:right w:val="nil"/>
            </w:tcBorders>
            <w:vAlign w:val="center"/>
            <w:hideMark/>
          </w:tcPr>
          <w:p w14:paraId="329414FA" w14:textId="77777777" w:rsidR="00082E66" w:rsidRPr="00082E66" w:rsidRDefault="00082E66" w:rsidP="00082E66">
            <w:pPr>
              <w:rPr>
                <w:rFonts w:ascii="Georgia" w:eastAsia="Times New Roman" w:hAnsi="Georgia" w:cs="Calibri"/>
                <w:b/>
                <w:bCs/>
                <w:color w:val="000000"/>
                <w:kern w:val="0"/>
                <w:sz w:val="36"/>
                <w:szCs w:val="36"/>
                <w14:ligatures w14:val="none"/>
              </w:rPr>
            </w:pPr>
            <w:r w:rsidRPr="00082E66">
              <w:rPr>
                <w:rFonts w:ascii="Georgia" w:eastAsia="Times New Roman" w:hAnsi="Georgia" w:cs="Calibri"/>
                <w:b/>
                <w:bCs/>
                <w:color w:val="000000"/>
                <w:kern w:val="0"/>
                <w:sz w:val="36"/>
                <w:szCs w:val="36"/>
                <w14:ligatures w14:val="none"/>
              </w:rPr>
              <w:t xml:space="preserve">Highest/Lowest Fuel Prices by Legislative District: </w:t>
            </w:r>
          </w:p>
        </w:tc>
      </w:tr>
      <w:tr w:rsidR="00082E66" w:rsidRPr="00082E66" w14:paraId="1746B911" w14:textId="77777777" w:rsidTr="00E05C17">
        <w:trPr>
          <w:trHeight w:val="300"/>
        </w:trPr>
        <w:tc>
          <w:tcPr>
            <w:tcW w:w="1114" w:type="pct"/>
            <w:tcBorders>
              <w:top w:val="nil"/>
              <w:left w:val="nil"/>
              <w:bottom w:val="nil"/>
              <w:right w:val="nil"/>
            </w:tcBorders>
            <w:vAlign w:val="bottom"/>
            <w:hideMark/>
          </w:tcPr>
          <w:p w14:paraId="68CDCF24" w14:textId="77777777" w:rsidR="00082E66" w:rsidRPr="00082E66" w:rsidRDefault="00082E66" w:rsidP="00082E66">
            <w:pPr>
              <w:rPr>
                <w:rFonts w:ascii="Georgia" w:eastAsia="Times New Roman" w:hAnsi="Georgia" w:cs="Calibri"/>
                <w:b/>
                <w:bCs/>
                <w:color w:val="000000"/>
                <w:kern w:val="0"/>
                <w:sz w:val="36"/>
                <w:szCs w:val="36"/>
                <w14:ligatures w14:val="none"/>
              </w:rPr>
            </w:pPr>
          </w:p>
        </w:tc>
        <w:tc>
          <w:tcPr>
            <w:tcW w:w="2462" w:type="pct"/>
            <w:tcBorders>
              <w:top w:val="nil"/>
              <w:left w:val="nil"/>
              <w:bottom w:val="nil"/>
              <w:right w:val="nil"/>
            </w:tcBorders>
            <w:vAlign w:val="bottom"/>
            <w:hideMark/>
          </w:tcPr>
          <w:p w14:paraId="3A9099C8"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noWrap/>
            <w:vAlign w:val="bottom"/>
            <w:hideMark/>
          </w:tcPr>
          <w:p w14:paraId="5868513E"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35018B38"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500465C6" w14:textId="77777777" w:rsidTr="00E05C17">
        <w:trPr>
          <w:trHeight w:val="300"/>
        </w:trPr>
        <w:tc>
          <w:tcPr>
            <w:tcW w:w="3576" w:type="pct"/>
            <w:gridSpan w:val="2"/>
            <w:tcBorders>
              <w:top w:val="nil"/>
              <w:left w:val="nil"/>
              <w:bottom w:val="nil"/>
              <w:right w:val="nil"/>
            </w:tcBorders>
            <w:vAlign w:val="bottom"/>
            <w:hideMark/>
          </w:tcPr>
          <w:p w14:paraId="0F366CDD" w14:textId="77777777" w:rsidR="00082E66" w:rsidRPr="00082E66" w:rsidRDefault="00082E66" w:rsidP="00082E66">
            <w:pPr>
              <w:rPr>
                <w:rFonts w:ascii="Calibri" w:eastAsia="Times New Roman" w:hAnsi="Calibri" w:cs="Calibri"/>
                <w:b/>
                <w:bCs/>
                <w:color w:val="000000"/>
                <w:kern w:val="0"/>
                <w14:ligatures w14:val="none"/>
              </w:rPr>
            </w:pPr>
            <w:r w:rsidRPr="00082E66">
              <w:rPr>
                <w:rFonts w:ascii="Calibri" w:eastAsia="Times New Roman" w:hAnsi="Calibri" w:cs="Calibri"/>
                <w:b/>
                <w:bCs/>
                <w:color w:val="000000"/>
                <w:kern w:val="0"/>
                <w14:ligatures w14:val="none"/>
              </w:rPr>
              <w:lastRenderedPageBreak/>
              <w:t>December 2025:  Average Price ($ per gallon) of Regular Gasoline</w:t>
            </w:r>
          </w:p>
        </w:tc>
        <w:tc>
          <w:tcPr>
            <w:tcW w:w="788" w:type="pct"/>
            <w:tcBorders>
              <w:top w:val="nil"/>
              <w:left w:val="nil"/>
              <w:bottom w:val="nil"/>
              <w:right w:val="nil"/>
            </w:tcBorders>
            <w:vAlign w:val="bottom"/>
            <w:hideMark/>
          </w:tcPr>
          <w:p w14:paraId="35FB09CA" w14:textId="77777777" w:rsidR="00082E66" w:rsidRPr="00082E66" w:rsidRDefault="00082E66" w:rsidP="00082E66">
            <w:pPr>
              <w:rPr>
                <w:rFonts w:ascii="Calibri" w:eastAsia="Times New Roman" w:hAnsi="Calibri" w:cs="Calibri"/>
                <w:b/>
                <w:bCs/>
                <w:color w:val="000000"/>
                <w:kern w:val="0"/>
                <w14:ligatures w14:val="none"/>
              </w:rPr>
            </w:pPr>
          </w:p>
        </w:tc>
        <w:tc>
          <w:tcPr>
            <w:tcW w:w="636" w:type="pct"/>
            <w:tcBorders>
              <w:top w:val="nil"/>
              <w:left w:val="nil"/>
              <w:bottom w:val="nil"/>
              <w:right w:val="nil"/>
            </w:tcBorders>
            <w:noWrap/>
            <w:vAlign w:val="bottom"/>
            <w:hideMark/>
          </w:tcPr>
          <w:p w14:paraId="7AB36A5D"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5308AE7A" w14:textId="77777777" w:rsidTr="00E05C17">
        <w:trPr>
          <w:trHeight w:val="300"/>
        </w:trPr>
        <w:tc>
          <w:tcPr>
            <w:tcW w:w="1114" w:type="pct"/>
            <w:tcBorders>
              <w:top w:val="nil"/>
              <w:left w:val="nil"/>
              <w:bottom w:val="nil"/>
              <w:right w:val="nil"/>
            </w:tcBorders>
            <w:vAlign w:val="bottom"/>
            <w:hideMark/>
          </w:tcPr>
          <w:p w14:paraId="53C13DA9"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2462" w:type="pct"/>
            <w:tcBorders>
              <w:top w:val="nil"/>
              <w:left w:val="nil"/>
              <w:bottom w:val="nil"/>
              <w:right w:val="nil"/>
            </w:tcBorders>
            <w:vAlign w:val="bottom"/>
            <w:hideMark/>
          </w:tcPr>
          <w:p w14:paraId="37676957"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15410C7E"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7B890819"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00D074FB" w14:textId="77777777" w:rsidTr="00E05C17">
        <w:trPr>
          <w:trHeight w:val="300"/>
        </w:trPr>
        <w:tc>
          <w:tcPr>
            <w:tcW w:w="1114" w:type="pct"/>
            <w:tcBorders>
              <w:top w:val="nil"/>
              <w:left w:val="nil"/>
              <w:bottom w:val="nil"/>
              <w:right w:val="nil"/>
            </w:tcBorders>
            <w:vAlign w:val="bottom"/>
            <w:hideMark/>
          </w:tcPr>
          <w:p w14:paraId="0F1A60DB"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2462" w:type="pct"/>
            <w:tcBorders>
              <w:top w:val="nil"/>
              <w:left w:val="nil"/>
              <w:bottom w:val="nil"/>
              <w:right w:val="nil"/>
            </w:tcBorders>
            <w:vAlign w:val="bottom"/>
            <w:hideMark/>
          </w:tcPr>
          <w:p w14:paraId="02025F92" w14:textId="77777777" w:rsidR="00082E66" w:rsidRPr="00082E66" w:rsidRDefault="00082E66" w:rsidP="00082E66">
            <w:pPr>
              <w:rPr>
                <w:rFonts w:ascii="Calibri" w:eastAsia="Times New Roman" w:hAnsi="Calibri" w:cs="Calibri"/>
                <w:i/>
                <w:iCs/>
                <w:color w:val="000000"/>
                <w:kern w:val="0"/>
                <w14:ligatures w14:val="none"/>
              </w:rPr>
            </w:pPr>
            <w:r w:rsidRPr="00082E66">
              <w:rPr>
                <w:rFonts w:ascii="Calibri" w:eastAsia="Times New Roman" w:hAnsi="Calibri" w:cs="Calibri"/>
                <w:i/>
                <w:iCs/>
                <w:color w:val="000000"/>
                <w:kern w:val="0"/>
                <w14:ligatures w14:val="none"/>
              </w:rPr>
              <w:t>Highest</w:t>
            </w:r>
          </w:p>
        </w:tc>
        <w:tc>
          <w:tcPr>
            <w:tcW w:w="788" w:type="pct"/>
            <w:tcBorders>
              <w:top w:val="nil"/>
              <w:left w:val="nil"/>
              <w:bottom w:val="nil"/>
              <w:right w:val="nil"/>
            </w:tcBorders>
            <w:vAlign w:val="bottom"/>
            <w:hideMark/>
          </w:tcPr>
          <w:p w14:paraId="30190562" w14:textId="77777777" w:rsidR="00082E66" w:rsidRPr="00082E66" w:rsidRDefault="00082E66" w:rsidP="00082E66">
            <w:pPr>
              <w:rPr>
                <w:rFonts w:ascii="Calibri" w:eastAsia="Times New Roman" w:hAnsi="Calibri" w:cs="Calibri"/>
                <w:i/>
                <w:iCs/>
                <w:color w:val="000000"/>
                <w:kern w:val="0"/>
                <w14:ligatures w14:val="none"/>
              </w:rPr>
            </w:pPr>
          </w:p>
        </w:tc>
        <w:tc>
          <w:tcPr>
            <w:tcW w:w="636" w:type="pct"/>
            <w:tcBorders>
              <w:top w:val="nil"/>
              <w:left w:val="nil"/>
              <w:bottom w:val="nil"/>
              <w:right w:val="nil"/>
            </w:tcBorders>
            <w:noWrap/>
            <w:vAlign w:val="bottom"/>
            <w:hideMark/>
          </w:tcPr>
          <w:p w14:paraId="4AF053EC"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3626E565" w14:textId="77777777" w:rsidTr="00E05C17">
        <w:trPr>
          <w:trHeight w:val="465"/>
        </w:trPr>
        <w:tc>
          <w:tcPr>
            <w:tcW w:w="1114" w:type="pct"/>
            <w:tcBorders>
              <w:top w:val="nil"/>
              <w:left w:val="nil"/>
              <w:bottom w:val="nil"/>
              <w:right w:val="nil"/>
            </w:tcBorders>
            <w:vAlign w:val="bottom"/>
            <w:hideMark/>
          </w:tcPr>
          <w:p w14:paraId="58247868"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CD30 Friedman (D)</w:t>
            </w:r>
          </w:p>
        </w:tc>
        <w:tc>
          <w:tcPr>
            <w:tcW w:w="2462" w:type="pct"/>
            <w:tcBorders>
              <w:top w:val="nil"/>
              <w:left w:val="nil"/>
              <w:bottom w:val="nil"/>
              <w:right w:val="nil"/>
            </w:tcBorders>
            <w:vAlign w:val="bottom"/>
            <w:hideMark/>
          </w:tcPr>
          <w:p w14:paraId="0A2C029B"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$4.68</w:t>
            </w:r>
          </w:p>
        </w:tc>
        <w:tc>
          <w:tcPr>
            <w:tcW w:w="788" w:type="pct"/>
            <w:tcBorders>
              <w:top w:val="nil"/>
              <w:left w:val="nil"/>
              <w:bottom w:val="nil"/>
              <w:right w:val="nil"/>
            </w:tcBorders>
            <w:vAlign w:val="bottom"/>
            <w:hideMark/>
          </w:tcPr>
          <w:p w14:paraId="556CA490"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43F20141"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5D7EEC33" w14:textId="77777777" w:rsidTr="00E05C17">
        <w:trPr>
          <w:trHeight w:val="300"/>
        </w:trPr>
        <w:tc>
          <w:tcPr>
            <w:tcW w:w="1114" w:type="pct"/>
            <w:tcBorders>
              <w:top w:val="nil"/>
              <w:left w:val="nil"/>
              <w:bottom w:val="nil"/>
              <w:right w:val="nil"/>
            </w:tcBorders>
            <w:vAlign w:val="bottom"/>
            <w:hideMark/>
          </w:tcPr>
          <w:p w14:paraId="0D3B11CF"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CD27 Whiteside (R)</w:t>
            </w:r>
          </w:p>
        </w:tc>
        <w:tc>
          <w:tcPr>
            <w:tcW w:w="2462" w:type="pct"/>
            <w:tcBorders>
              <w:top w:val="nil"/>
              <w:left w:val="nil"/>
              <w:bottom w:val="nil"/>
              <w:right w:val="nil"/>
            </w:tcBorders>
            <w:vAlign w:val="bottom"/>
            <w:hideMark/>
          </w:tcPr>
          <w:p w14:paraId="2E26FBEE"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$4.62</w:t>
            </w:r>
          </w:p>
        </w:tc>
        <w:tc>
          <w:tcPr>
            <w:tcW w:w="788" w:type="pct"/>
            <w:tcBorders>
              <w:top w:val="nil"/>
              <w:left w:val="nil"/>
              <w:bottom w:val="nil"/>
              <w:right w:val="nil"/>
            </w:tcBorders>
            <w:vAlign w:val="bottom"/>
            <w:hideMark/>
          </w:tcPr>
          <w:p w14:paraId="289BA91D"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76B3743B"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5CD79F8C" w14:textId="77777777" w:rsidTr="00E05C17">
        <w:trPr>
          <w:trHeight w:val="810"/>
        </w:trPr>
        <w:tc>
          <w:tcPr>
            <w:tcW w:w="1114" w:type="pct"/>
            <w:tcBorders>
              <w:top w:val="nil"/>
              <w:left w:val="nil"/>
              <w:bottom w:val="nil"/>
              <w:right w:val="nil"/>
            </w:tcBorders>
            <w:vAlign w:val="bottom"/>
            <w:hideMark/>
          </w:tcPr>
          <w:p w14:paraId="6938489A"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CD36 Lieu (D)</w:t>
            </w:r>
          </w:p>
        </w:tc>
        <w:tc>
          <w:tcPr>
            <w:tcW w:w="2462" w:type="pct"/>
            <w:tcBorders>
              <w:top w:val="nil"/>
              <w:left w:val="nil"/>
              <w:bottom w:val="nil"/>
              <w:right w:val="nil"/>
            </w:tcBorders>
            <w:vAlign w:val="bottom"/>
            <w:hideMark/>
          </w:tcPr>
          <w:p w14:paraId="2F462140"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$4.61</w:t>
            </w:r>
          </w:p>
        </w:tc>
        <w:tc>
          <w:tcPr>
            <w:tcW w:w="788" w:type="pct"/>
            <w:tcBorders>
              <w:top w:val="nil"/>
              <w:left w:val="nil"/>
              <w:bottom w:val="nil"/>
              <w:right w:val="nil"/>
            </w:tcBorders>
            <w:vAlign w:val="bottom"/>
            <w:hideMark/>
          </w:tcPr>
          <w:p w14:paraId="30765DE8"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47FD55F6"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44E666E7" w14:textId="77777777" w:rsidTr="00E05C17">
        <w:trPr>
          <w:trHeight w:val="300"/>
        </w:trPr>
        <w:tc>
          <w:tcPr>
            <w:tcW w:w="1114" w:type="pct"/>
            <w:tcBorders>
              <w:top w:val="nil"/>
              <w:left w:val="nil"/>
              <w:bottom w:val="nil"/>
              <w:right w:val="nil"/>
            </w:tcBorders>
            <w:vAlign w:val="bottom"/>
            <w:hideMark/>
          </w:tcPr>
          <w:p w14:paraId="5710AE40"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CD52 Vargas (D)</w:t>
            </w:r>
          </w:p>
        </w:tc>
        <w:tc>
          <w:tcPr>
            <w:tcW w:w="2462" w:type="pct"/>
            <w:tcBorders>
              <w:top w:val="nil"/>
              <w:left w:val="nil"/>
              <w:bottom w:val="nil"/>
              <w:right w:val="nil"/>
            </w:tcBorders>
            <w:vAlign w:val="bottom"/>
            <w:hideMark/>
          </w:tcPr>
          <w:p w14:paraId="35F9B8C6"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$4.61</w:t>
            </w:r>
          </w:p>
        </w:tc>
        <w:tc>
          <w:tcPr>
            <w:tcW w:w="788" w:type="pct"/>
            <w:tcBorders>
              <w:top w:val="nil"/>
              <w:left w:val="nil"/>
              <w:bottom w:val="nil"/>
              <w:right w:val="nil"/>
            </w:tcBorders>
            <w:vAlign w:val="bottom"/>
            <w:hideMark/>
          </w:tcPr>
          <w:p w14:paraId="48325082"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4D475721"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5AAB1A2D" w14:textId="77777777" w:rsidTr="00E05C17">
        <w:trPr>
          <w:trHeight w:val="300"/>
        </w:trPr>
        <w:tc>
          <w:tcPr>
            <w:tcW w:w="1114" w:type="pct"/>
            <w:tcBorders>
              <w:top w:val="nil"/>
              <w:left w:val="nil"/>
              <w:bottom w:val="nil"/>
              <w:right w:val="nil"/>
            </w:tcBorders>
            <w:vAlign w:val="bottom"/>
            <w:hideMark/>
          </w:tcPr>
          <w:p w14:paraId="5606848F"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CD32 Sherman (D)</w:t>
            </w:r>
          </w:p>
        </w:tc>
        <w:tc>
          <w:tcPr>
            <w:tcW w:w="2462" w:type="pct"/>
            <w:tcBorders>
              <w:top w:val="nil"/>
              <w:left w:val="nil"/>
              <w:bottom w:val="nil"/>
              <w:right w:val="nil"/>
            </w:tcBorders>
            <w:vAlign w:val="bottom"/>
            <w:hideMark/>
          </w:tcPr>
          <w:p w14:paraId="53183737"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$4.60</w:t>
            </w:r>
          </w:p>
        </w:tc>
        <w:tc>
          <w:tcPr>
            <w:tcW w:w="788" w:type="pct"/>
            <w:tcBorders>
              <w:top w:val="nil"/>
              <w:left w:val="nil"/>
              <w:bottom w:val="nil"/>
              <w:right w:val="nil"/>
            </w:tcBorders>
            <w:vAlign w:val="bottom"/>
            <w:hideMark/>
          </w:tcPr>
          <w:p w14:paraId="630B2DF1"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3EEE6525"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021876B1" w14:textId="77777777" w:rsidTr="00E05C17">
        <w:trPr>
          <w:trHeight w:val="465"/>
        </w:trPr>
        <w:tc>
          <w:tcPr>
            <w:tcW w:w="1114" w:type="pct"/>
            <w:tcBorders>
              <w:top w:val="nil"/>
              <w:left w:val="nil"/>
              <w:bottom w:val="nil"/>
              <w:right w:val="nil"/>
            </w:tcBorders>
            <w:vAlign w:val="bottom"/>
            <w:hideMark/>
          </w:tcPr>
          <w:p w14:paraId="7118131A"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2462" w:type="pct"/>
            <w:tcBorders>
              <w:top w:val="nil"/>
              <w:left w:val="nil"/>
              <w:bottom w:val="nil"/>
              <w:right w:val="nil"/>
            </w:tcBorders>
            <w:vAlign w:val="bottom"/>
            <w:hideMark/>
          </w:tcPr>
          <w:p w14:paraId="43A1B5B8"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2DC535A0"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01A7168B"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1A27D740" w14:textId="77777777" w:rsidTr="00E05C17">
        <w:trPr>
          <w:trHeight w:val="300"/>
        </w:trPr>
        <w:tc>
          <w:tcPr>
            <w:tcW w:w="1114" w:type="pct"/>
            <w:tcBorders>
              <w:top w:val="nil"/>
              <w:left w:val="nil"/>
              <w:bottom w:val="nil"/>
              <w:right w:val="nil"/>
            </w:tcBorders>
            <w:vAlign w:val="bottom"/>
            <w:hideMark/>
          </w:tcPr>
          <w:p w14:paraId="7F8E0D82"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SD24 Allen (D)</w:t>
            </w:r>
          </w:p>
        </w:tc>
        <w:tc>
          <w:tcPr>
            <w:tcW w:w="2462" w:type="pct"/>
            <w:tcBorders>
              <w:top w:val="nil"/>
              <w:left w:val="nil"/>
              <w:bottom w:val="nil"/>
              <w:right w:val="nil"/>
            </w:tcBorders>
            <w:vAlign w:val="bottom"/>
            <w:hideMark/>
          </w:tcPr>
          <w:p w14:paraId="07A93C2F"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$4.64</w:t>
            </w:r>
          </w:p>
        </w:tc>
        <w:tc>
          <w:tcPr>
            <w:tcW w:w="788" w:type="pct"/>
            <w:tcBorders>
              <w:top w:val="nil"/>
              <w:left w:val="nil"/>
              <w:bottom w:val="nil"/>
              <w:right w:val="nil"/>
            </w:tcBorders>
            <w:vAlign w:val="bottom"/>
            <w:hideMark/>
          </w:tcPr>
          <w:p w14:paraId="02769D49"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1B7CB491"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3E1C3308" w14:textId="77777777" w:rsidTr="00E05C17">
        <w:trPr>
          <w:trHeight w:val="825"/>
        </w:trPr>
        <w:tc>
          <w:tcPr>
            <w:tcW w:w="1114" w:type="pct"/>
            <w:tcBorders>
              <w:top w:val="nil"/>
              <w:left w:val="nil"/>
              <w:bottom w:val="nil"/>
              <w:right w:val="nil"/>
            </w:tcBorders>
            <w:vAlign w:val="bottom"/>
            <w:hideMark/>
          </w:tcPr>
          <w:p w14:paraId="0579820D"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SD39 Weber (D)</w:t>
            </w:r>
          </w:p>
        </w:tc>
        <w:tc>
          <w:tcPr>
            <w:tcW w:w="2462" w:type="pct"/>
            <w:tcBorders>
              <w:top w:val="nil"/>
              <w:left w:val="nil"/>
              <w:bottom w:val="nil"/>
              <w:right w:val="nil"/>
            </w:tcBorders>
            <w:vAlign w:val="bottom"/>
            <w:hideMark/>
          </w:tcPr>
          <w:p w14:paraId="217EF15C"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$4.61</w:t>
            </w:r>
          </w:p>
        </w:tc>
        <w:tc>
          <w:tcPr>
            <w:tcW w:w="788" w:type="pct"/>
            <w:tcBorders>
              <w:top w:val="nil"/>
              <w:left w:val="nil"/>
              <w:bottom w:val="nil"/>
              <w:right w:val="nil"/>
            </w:tcBorders>
            <w:vAlign w:val="bottom"/>
            <w:hideMark/>
          </w:tcPr>
          <w:p w14:paraId="1DFE1896"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3801F4E1"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75D55C33" w14:textId="77777777" w:rsidTr="00E05C17">
        <w:trPr>
          <w:trHeight w:val="630"/>
        </w:trPr>
        <w:tc>
          <w:tcPr>
            <w:tcW w:w="1114" w:type="pct"/>
            <w:tcBorders>
              <w:top w:val="nil"/>
              <w:left w:val="nil"/>
              <w:bottom w:val="nil"/>
              <w:right w:val="nil"/>
            </w:tcBorders>
            <w:vAlign w:val="bottom"/>
            <w:hideMark/>
          </w:tcPr>
          <w:p w14:paraId="5ADE84D5"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SD26 Durazo (D)</w:t>
            </w:r>
          </w:p>
        </w:tc>
        <w:tc>
          <w:tcPr>
            <w:tcW w:w="2462" w:type="pct"/>
            <w:tcBorders>
              <w:top w:val="nil"/>
              <w:left w:val="nil"/>
              <w:bottom w:val="nil"/>
              <w:right w:val="nil"/>
            </w:tcBorders>
            <w:vAlign w:val="bottom"/>
            <w:hideMark/>
          </w:tcPr>
          <w:p w14:paraId="259AD1CC"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$4.60</w:t>
            </w:r>
          </w:p>
        </w:tc>
        <w:tc>
          <w:tcPr>
            <w:tcW w:w="788" w:type="pct"/>
            <w:tcBorders>
              <w:top w:val="nil"/>
              <w:left w:val="nil"/>
              <w:bottom w:val="nil"/>
              <w:right w:val="nil"/>
            </w:tcBorders>
            <w:vAlign w:val="bottom"/>
            <w:hideMark/>
          </w:tcPr>
          <w:p w14:paraId="3F6F4099"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2A0DFDFB"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076B3E8A" w14:textId="77777777" w:rsidTr="00E05C17">
        <w:trPr>
          <w:trHeight w:val="300"/>
        </w:trPr>
        <w:tc>
          <w:tcPr>
            <w:tcW w:w="1114" w:type="pct"/>
            <w:tcBorders>
              <w:top w:val="nil"/>
              <w:left w:val="nil"/>
              <w:bottom w:val="nil"/>
              <w:right w:val="nil"/>
            </w:tcBorders>
            <w:vAlign w:val="bottom"/>
            <w:hideMark/>
          </w:tcPr>
          <w:p w14:paraId="153EFE73"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SD28 Smallwood-Cuevas (D)</w:t>
            </w:r>
          </w:p>
        </w:tc>
        <w:tc>
          <w:tcPr>
            <w:tcW w:w="2462" w:type="pct"/>
            <w:tcBorders>
              <w:top w:val="nil"/>
              <w:left w:val="nil"/>
              <w:bottom w:val="nil"/>
              <w:right w:val="nil"/>
            </w:tcBorders>
            <w:vAlign w:val="bottom"/>
            <w:hideMark/>
          </w:tcPr>
          <w:p w14:paraId="2CB4473D"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$4.57</w:t>
            </w:r>
          </w:p>
        </w:tc>
        <w:tc>
          <w:tcPr>
            <w:tcW w:w="788" w:type="pct"/>
            <w:tcBorders>
              <w:top w:val="nil"/>
              <w:left w:val="nil"/>
              <w:bottom w:val="nil"/>
              <w:right w:val="nil"/>
            </w:tcBorders>
            <w:vAlign w:val="bottom"/>
            <w:hideMark/>
          </w:tcPr>
          <w:p w14:paraId="1B1DB140"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5D259FAB"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51FF89C8" w14:textId="77777777" w:rsidTr="00E05C17">
        <w:trPr>
          <w:trHeight w:val="345"/>
        </w:trPr>
        <w:tc>
          <w:tcPr>
            <w:tcW w:w="1114" w:type="pct"/>
            <w:tcBorders>
              <w:top w:val="nil"/>
              <w:left w:val="nil"/>
              <w:bottom w:val="nil"/>
              <w:right w:val="nil"/>
            </w:tcBorders>
            <w:vAlign w:val="bottom"/>
            <w:hideMark/>
          </w:tcPr>
          <w:p w14:paraId="384AD853"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SD38 Blakespear (D)</w:t>
            </w:r>
          </w:p>
        </w:tc>
        <w:tc>
          <w:tcPr>
            <w:tcW w:w="2462" w:type="pct"/>
            <w:tcBorders>
              <w:top w:val="nil"/>
              <w:left w:val="nil"/>
              <w:bottom w:val="nil"/>
              <w:right w:val="nil"/>
            </w:tcBorders>
            <w:vAlign w:val="bottom"/>
            <w:hideMark/>
          </w:tcPr>
          <w:p w14:paraId="2A59B7BA"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$4.54</w:t>
            </w:r>
          </w:p>
        </w:tc>
        <w:tc>
          <w:tcPr>
            <w:tcW w:w="788" w:type="pct"/>
            <w:tcBorders>
              <w:top w:val="nil"/>
              <w:left w:val="nil"/>
              <w:bottom w:val="nil"/>
              <w:right w:val="nil"/>
            </w:tcBorders>
            <w:vAlign w:val="bottom"/>
            <w:hideMark/>
          </w:tcPr>
          <w:p w14:paraId="4EEA30AA"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0959B849"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75C31ADC" w14:textId="77777777" w:rsidTr="00E05C17">
        <w:trPr>
          <w:trHeight w:val="300"/>
        </w:trPr>
        <w:tc>
          <w:tcPr>
            <w:tcW w:w="1114" w:type="pct"/>
            <w:tcBorders>
              <w:top w:val="nil"/>
              <w:left w:val="nil"/>
              <w:bottom w:val="nil"/>
              <w:right w:val="nil"/>
            </w:tcBorders>
            <w:vAlign w:val="bottom"/>
            <w:hideMark/>
          </w:tcPr>
          <w:p w14:paraId="53559F83"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2462" w:type="pct"/>
            <w:tcBorders>
              <w:top w:val="nil"/>
              <w:left w:val="nil"/>
              <w:bottom w:val="nil"/>
              <w:right w:val="nil"/>
            </w:tcBorders>
            <w:vAlign w:val="bottom"/>
            <w:hideMark/>
          </w:tcPr>
          <w:p w14:paraId="16D546F9"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0F1084E5"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07C6EEC8"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19BC7CC3" w14:textId="77777777" w:rsidTr="00E05C17">
        <w:trPr>
          <w:trHeight w:val="300"/>
        </w:trPr>
        <w:tc>
          <w:tcPr>
            <w:tcW w:w="1114" w:type="pct"/>
            <w:tcBorders>
              <w:top w:val="nil"/>
              <w:left w:val="nil"/>
              <w:bottom w:val="nil"/>
              <w:right w:val="nil"/>
            </w:tcBorders>
            <w:vAlign w:val="bottom"/>
            <w:hideMark/>
          </w:tcPr>
          <w:p w14:paraId="58EA7091"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AD51 Zbur (D)</w:t>
            </w:r>
          </w:p>
        </w:tc>
        <w:tc>
          <w:tcPr>
            <w:tcW w:w="2462" w:type="pct"/>
            <w:tcBorders>
              <w:top w:val="nil"/>
              <w:left w:val="nil"/>
              <w:bottom w:val="nil"/>
              <w:right w:val="nil"/>
            </w:tcBorders>
            <w:vAlign w:val="bottom"/>
            <w:hideMark/>
          </w:tcPr>
          <w:p w14:paraId="34ED5440"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$4.79</w:t>
            </w:r>
          </w:p>
        </w:tc>
        <w:tc>
          <w:tcPr>
            <w:tcW w:w="788" w:type="pct"/>
            <w:tcBorders>
              <w:top w:val="nil"/>
              <w:left w:val="nil"/>
              <w:bottom w:val="nil"/>
              <w:right w:val="nil"/>
            </w:tcBorders>
            <w:vAlign w:val="bottom"/>
            <w:hideMark/>
          </w:tcPr>
          <w:p w14:paraId="0FC5F278"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37F3A98E"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332ABCFC" w14:textId="77777777" w:rsidTr="00E05C17">
        <w:trPr>
          <w:trHeight w:val="330"/>
        </w:trPr>
        <w:tc>
          <w:tcPr>
            <w:tcW w:w="1114" w:type="pct"/>
            <w:tcBorders>
              <w:top w:val="nil"/>
              <w:left w:val="nil"/>
              <w:bottom w:val="nil"/>
              <w:right w:val="nil"/>
            </w:tcBorders>
            <w:vAlign w:val="bottom"/>
            <w:hideMark/>
          </w:tcPr>
          <w:p w14:paraId="6F0B05F3"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AD44 Schultz (D)</w:t>
            </w:r>
          </w:p>
        </w:tc>
        <w:tc>
          <w:tcPr>
            <w:tcW w:w="2462" w:type="pct"/>
            <w:tcBorders>
              <w:top w:val="nil"/>
              <w:left w:val="nil"/>
              <w:bottom w:val="nil"/>
              <w:right w:val="nil"/>
            </w:tcBorders>
            <w:vAlign w:val="bottom"/>
            <w:hideMark/>
          </w:tcPr>
          <w:p w14:paraId="14F03590"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$4.65</w:t>
            </w:r>
          </w:p>
        </w:tc>
        <w:tc>
          <w:tcPr>
            <w:tcW w:w="788" w:type="pct"/>
            <w:tcBorders>
              <w:top w:val="nil"/>
              <w:left w:val="nil"/>
              <w:bottom w:val="nil"/>
              <w:right w:val="nil"/>
            </w:tcBorders>
            <w:vAlign w:val="bottom"/>
            <w:hideMark/>
          </w:tcPr>
          <w:p w14:paraId="5E439992"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62676215"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596DCA7E" w14:textId="77777777" w:rsidTr="00E05C17">
        <w:trPr>
          <w:trHeight w:val="300"/>
        </w:trPr>
        <w:tc>
          <w:tcPr>
            <w:tcW w:w="1114" w:type="pct"/>
            <w:tcBorders>
              <w:top w:val="nil"/>
              <w:left w:val="nil"/>
              <w:bottom w:val="nil"/>
              <w:right w:val="nil"/>
            </w:tcBorders>
            <w:vAlign w:val="bottom"/>
            <w:hideMark/>
          </w:tcPr>
          <w:p w14:paraId="09A0E4F8"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AD78 Ward (D)</w:t>
            </w:r>
          </w:p>
        </w:tc>
        <w:tc>
          <w:tcPr>
            <w:tcW w:w="2462" w:type="pct"/>
            <w:tcBorders>
              <w:top w:val="nil"/>
              <w:left w:val="nil"/>
              <w:bottom w:val="nil"/>
              <w:right w:val="nil"/>
            </w:tcBorders>
            <w:vAlign w:val="bottom"/>
            <w:hideMark/>
          </w:tcPr>
          <w:p w14:paraId="7C7CB443"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$4.64</w:t>
            </w:r>
          </w:p>
        </w:tc>
        <w:tc>
          <w:tcPr>
            <w:tcW w:w="788" w:type="pct"/>
            <w:tcBorders>
              <w:top w:val="nil"/>
              <w:left w:val="nil"/>
              <w:bottom w:val="nil"/>
              <w:right w:val="nil"/>
            </w:tcBorders>
            <w:vAlign w:val="bottom"/>
            <w:hideMark/>
          </w:tcPr>
          <w:p w14:paraId="571C7B0E"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7AA9A6B8"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48872103" w14:textId="77777777" w:rsidTr="00E05C17">
        <w:trPr>
          <w:trHeight w:val="480"/>
        </w:trPr>
        <w:tc>
          <w:tcPr>
            <w:tcW w:w="1114" w:type="pct"/>
            <w:tcBorders>
              <w:top w:val="nil"/>
              <w:left w:val="nil"/>
              <w:bottom w:val="nil"/>
              <w:right w:val="nil"/>
            </w:tcBorders>
            <w:vAlign w:val="bottom"/>
            <w:hideMark/>
          </w:tcPr>
          <w:p w14:paraId="63FE221B"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AD77 Boerner (D)</w:t>
            </w:r>
          </w:p>
        </w:tc>
        <w:tc>
          <w:tcPr>
            <w:tcW w:w="2462" w:type="pct"/>
            <w:tcBorders>
              <w:top w:val="nil"/>
              <w:left w:val="nil"/>
              <w:bottom w:val="nil"/>
              <w:right w:val="nil"/>
            </w:tcBorders>
            <w:vAlign w:val="bottom"/>
            <w:hideMark/>
          </w:tcPr>
          <w:p w14:paraId="276F59F3"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$4.62</w:t>
            </w:r>
          </w:p>
        </w:tc>
        <w:tc>
          <w:tcPr>
            <w:tcW w:w="788" w:type="pct"/>
            <w:tcBorders>
              <w:top w:val="nil"/>
              <w:left w:val="nil"/>
              <w:bottom w:val="nil"/>
              <w:right w:val="nil"/>
            </w:tcBorders>
            <w:noWrap/>
            <w:vAlign w:val="bottom"/>
            <w:hideMark/>
          </w:tcPr>
          <w:p w14:paraId="75DA8795"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5B9043D5"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3E3D6728" w14:textId="77777777" w:rsidTr="00E05C17">
        <w:trPr>
          <w:trHeight w:val="300"/>
        </w:trPr>
        <w:tc>
          <w:tcPr>
            <w:tcW w:w="1114" w:type="pct"/>
            <w:tcBorders>
              <w:top w:val="nil"/>
              <w:left w:val="nil"/>
              <w:bottom w:val="nil"/>
              <w:right w:val="nil"/>
            </w:tcBorders>
            <w:vAlign w:val="bottom"/>
            <w:hideMark/>
          </w:tcPr>
          <w:p w14:paraId="030A59BE"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AD80 Alvarez (D)</w:t>
            </w:r>
          </w:p>
        </w:tc>
        <w:tc>
          <w:tcPr>
            <w:tcW w:w="2462" w:type="pct"/>
            <w:tcBorders>
              <w:top w:val="nil"/>
              <w:left w:val="nil"/>
              <w:bottom w:val="nil"/>
              <w:right w:val="nil"/>
            </w:tcBorders>
            <w:vAlign w:val="bottom"/>
            <w:hideMark/>
          </w:tcPr>
          <w:p w14:paraId="3F2185D8"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$4.61</w:t>
            </w:r>
          </w:p>
        </w:tc>
        <w:tc>
          <w:tcPr>
            <w:tcW w:w="788" w:type="pct"/>
            <w:tcBorders>
              <w:top w:val="nil"/>
              <w:left w:val="nil"/>
              <w:bottom w:val="nil"/>
              <w:right w:val="nil"/>
            </w:tcBorders>
            <w:noWrap/>
            <w:vAlign w:val="bottom"/>
            <w:hideMark/>
          </w:tcPr>
          <w:p w14:paraId="041895AD"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3E32CF09"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0BCFB59F" w14:textId="77777777" w:rsidTr="00E05C17">
        <w:trPr>
          <w:trHeight w:val="420"/>
        </w:trPr>
        <w:tc>
          <w:tcPr>
            <w:tcW w:w="1114" w:type="pct"/>
            <w:tcBorders>
              <w:top w:val="nil"/>
              <w:left w:val="nil"/>
              <w:bottom w:val="nil"/>
              <w:right w:val="nil"/>
            </w:tcBorders>
            <w:vAlign w:val="bottom"/>
            <w:hideMark/>
          </w:tcPr>
          <w:p w14:paraId="54AB5008"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2462" w:type="pct"/>
            <w:tcBorders>
              <w:top w:val="nil"/>
              <w:left w:val="nil"/>
              <w:bottom w:val="nil"/>
              <w:right w:val="nil"/>
            </w:tcBorders>
            <w:vAlign w:val="bottom"/>
            <w:hideMark/>
          </w:tcPr>
          <w:p w14:paraId="4B2A2F54" w14:textId="77777777" w:rsidR="00082E66" w:rsidRPr="00082E66" w:rsidRDefault="00082E66" w:rsidP="00082E66">
            <w:pPr>
              <w:rPr>
                <w:rFonts w:ascii="Calibri" w:eastAsia="Times New Roman" w:hAnsi="Calibri" w:cs="Calibri"/>
                <w:i/>
                <w:iCs/>
                <w:color w:val="000000"/>
                <w:kern w:val="0"/>
                <w14:ligatures w14:val="none"/>
              </w:rPr>
            </w:pPr>
            <w:r w:rsidRPr="00082E66">
              <w:rPr>
                <w:rFonts w:ascii="Calibri" w:eastAsia="Times New Roman" w:hAnsi="Calibri" w:cs="Calibri"/>
                <w:i/>
                <w:iCs/>
                <w:color w:val="000000"/>
                <w:kern w:val="0"/>
                <w14:ligatures w14:val="none"/>
              </w:rPr>
              <w:t>Lowest</w:t>
            </w:r>
          </w:p>
        </w:tc>
        <w:tc>
          <w:tcPr>
            <w:tcW w:w="788" w:type="pct"/>
            <w:tcBorders>
              <w:top w:val="nil"/>
              <w:left w:val="nil"/>
              <w:bottom w:val="nil"/>
              <w:right w:val="nil"/>
            </w:tcBorders>
            <w:noWrap/>
            <w:vAlign w:val="bottom"/>
            <w:hideMark/>
          </w:tcPr>
          <w:p w14:paraId="2C667CFD" w14:textId="77777777" w:rsidR="00082E66" w:rsidRPr="00082E66" w:rsidRDefault="00082E66" w:rsidP="00082E66">
            <w:pPr>
              <w:rPr>
                <w:rFonts w:ascii="Calibri" w:eastAsia="Times New Roman" w:hAnsi="Calibri" w:cs="Calibri"/>
                <w:i/>
                <w:iCs/>
                <w:color w:val="000000"/>
                <w:kern w:val="0"/>
                <w14:ligatures w14:val="none"/>
              </w:rPr>
            </w:pPr>
          </w:p>
        </w:tc>
        <w:tc>
          <w:tcPr>
            <w:tcW w:w="636" w:type="pct"/>
            <w:tcBorders>
              <w:top w:val="nil"/>
              <w:left w:val="nil"/>
              <w:bottom w:val="nil"/>
              <w:right w:val="nil"/>
            </w:tcBorders>
            <w:noWrap/>
            <w:vAlign w:val="bottom"/>
            <w:hideMark/>
          </w:tcPr>
          <w:p w14:paraId="72D5B6B8"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752D9E67" w14:textId="77777777" w:rsidTr="00E05C17">
        <w:trPr>
          <w:trHeight w:val="480"/>
        </w:trPr>
        <w:tc>
          <w:tcPr>
            <w:tcW w:w="1114" w:type="pct"/>
            <w:tcBorders>
              <w:top w:val="nil"/>
              <w:left w:val="nil"/>
              <w:bottom w:val="nil"/>
              <w:right w:val="nil"/>
            </w:tcBorders>
            <w:vAlign w:val="bottom"/>
            <w:hideMark/>
          </w:tcPr>
          <w:p w14:paraId="3A774325"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CD21 Costa (D)</w:t>
            </w:r>
          </w:p>
        </w:tc>
        <w:tc>
          <w:tcPr>
            <w:tcW w:w="2462" w:type="pct"/>
            <w:tcBorders>
              <w:top w:val="nil"/>
              <w:left w:val="nil"/>
              <w:bottom w:val="nil"/>
              <w:right w:val="nil"/>
            </w:tcBorders>
            <w:vAlign w:val="bottom"/>
            <w:hideMark/>
          </w:tcPr>
          <w:p w14:paraId="0C57A6A1"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$4.15</w:t>
            </w:r>
          </w:p>
        </w:tc>
        <w:tc>
          <w:tcPr>
            <w:tcW w:w="788" w:type="pct"/>
            <w:tcBorders>
              <w:top w:val="nil"/>
              <w:left w:val="nil"/>
              <w:bottom w:val="nil"/>
              <w:right w:val="nil"/>
            </w:tcBorders>
            <w:noWrap/>
            <w:vAlign w:val="bottom"/>
            <w:hideMark/>
          </w:tcPr>
          <w:p w14:paraId="19A02D35"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30F2FF01"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591C8C6E" w14:textId="77777777" w:rsidTr="00E05C17">
        <w:trPr>
          <w:trHeight w:val="315"/>
        </w:trPr>
        <w:tc>
          <w:tcPr>
            <w:tcW w:w="1114" w:type="pct"/>
            <w:tcBorders>
              <w:top w:val="nil"/>
              <w:left w:val="nil"/>
              <w:bottom w:val="nil"/>
              <w:right w:val="nil"/>
            </w:tcBorders>
            <w:vAlign w:val="bottom"/>
            <w:hideMark/>
          </w:tcPr>
          <w:p w14:paraId="7222DBD6"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CD17 Khanna (D)</w:t>
            </w:r>
          </w:p>
        </w:tc>
        <w:tc>
          <w:tcPr>
            <w:tcW w:w="2462" w:type="pct"/>
            <w:tcBorders>
              <w:top w:val="nil"/>
              <w:left w:val="nil"/>
              <w:bottom w:val="nil"/>
              <w:right w:val="nil"/>
            </w:tcBorders>
            <w:vAlign w:val="bottom"/>
            <w:hideMark/>
          </w:tcPr>
          <w:p w14:paraId="3E589BDA"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$4.13</w:t>
            </w:r>
          </w:p>
        </w:tc>
        <w:tc>
          <w:tcPr>
            <w:tcW w:w="788" w:type="pct"/>
            <w:tcBorders>
              <w:top w:val="nil"/>
              <w:left w:val="nil"/>
              <w:bottom w:val="nil"/>
              <w:right w:val="nil"/>
            </w:tcBorders>
            <w:noWrap/>
            <w:vAlign w:val="bottom"/>
            <w:hideMark/>
          </w:tcPr>
          <w:p w14:paraId="685FBE74"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3C1A5430"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0018CF4B" w14:textId="77777777" w:rsidTr="00E05C17">
        <w:trPr>
          <w:trHeight w:val="480"/>
        </w:trPr>
        <w:tc>
          <w:tcPr>
            <w:tcW w:w="1114" w:type="pct"/>
            <w:tcBorders>
              <w:top w:val="nil"/>
              <w:left w:val="nil"/>
              <w:bottom w:val="nil"/>
              <w:right w:val="nil"/>
            </w:tcBorders>
            <w:vAlign w:val="bottom"/>
            <w:hideMark/>
          </w:tcPr>
          <w:p w14:paraId="37442D61"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CD06 Bera (D)</w:t>
            </w:r>
          </w:p>
        </w:tc>
        <w:tc>
          <w:tcPr>
            <w:tcW w:w="2462" w:type="pct"/>
            <w:tcBorders>
              <w:top w:val="nil"/>
              <w:left w:val="nil"/>
              <w:bottom w:val="nil"/>
              <w:right w:val="nil"/>
            </w:tcBorders>
            <w:vAlign w:val="bottom"/>
            <w:hideMark/>
          </w:tcPr>
          <w:p w14:paraId="4D8DBEC6"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$4.13</w:t>
            </w:r>
          </w:p>
        </w:tc>
        <w:tc>
          <w:tcPr>
            <w:tcW w:w="788" w:type="pct"/>
            <w:tcBorders>
              <w:top w:val="nil"/>
              <w:left w:val="nil"/>
              <w:bottom w:val="nil"/>
              <w:right w:val="nil"/>
            </w:tcBorders>
            <w:noWrap/>
            <w:vAlign w:val="bottom"/>
            <w:hideMark/>
          </w:tcPr>
          <w:p w14:paraId="51DC9848"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16CAE0A5"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6CF285D3" w14:textId="77777777" w:rsidTr="00E05C17">
        <w:trPr>
          <w:trHeight w:val="345"/>
        </w:trPr>
        <w:tc>
          <w:tcPr>
            <w:tcW w:w="1114" w:type="pct"/>
            <w:tcBorders>
              <w:top w:val="nil"/>
              <w:left w:val="nil"/>
              <w:bottom w:val="nil"/>
              <w:right w:val="nil"/>
            </w:tcBorders>
            <w:vAlign w:val="bottom"/>
            <w:hideMark/>
          </w:tcPr>
          <w:p w14:paraId="52D5304F"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CD01 LaMalfa (R)</w:t>
            </w:r>
          </w:p>
        </w:tc>
        <w:tc>
          <w:tcPr>
            <w:tcW w:w="2462" w:type="pct"/>
            <w:tcBorders>
              <w:top w:val="nil"/>
              <w:left w:val="nil"/>
              <w:bottom w:val="nil"/>
              <w:right w:val="nil"/>
            </w:tcBorders>
            <w:vAlign w:val="bottom"/>
            <w:hideMark/>
          </w:tcPr>
          <w:p w14:paraId="57AB2C27"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$4.06</w:t>
            </w:r>
          </w:p>
        </w:tc>
        <w:tc>
          <w:tcPr>
            <w:tcW w:w="788" w:type="pct"/>
            <w:tcBorders>
              <w:top w:val="nil"/>
              <w:left w:val="nil"/>
              <w:bottom w:val="nil"/>
              <w:right w:val="nil"/>
            </w:tcBorders>
            <w:noWrap/>
            <w:vAlign w:val="bottom"/>
            <w:hideMark/>
          </w:tcPr>
          <w:p w14:paraId="5CC9B965"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41DA40BE"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177CBDE2" w14:textId="77777777" w:rsidTr="00E05C17">
        <w:trPr>
          <w:trHeight w:val="1200"/>
        </w:trPr>
        <w:tc>
          <w:tcPr>
            <w:tcW w:w="1114" w:type="pct"/>
            <w:tcBorders>
              <w:top w:val="nil"/>
              <w:left w:val="nil"/>
              <w:bottom w:val="nil"/>
              <w:right w:val="nil"/>
            </w:tcBorders>
            <w:vAlign w:val="bottom"/>
            <w:hideMark/>
          </w:tcPr>
          <w:p w14:paraId="2F04D076"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CD09 Harder (D)</w:t>
            </w:r>
          </w:p>
        </w:tc>
        <w:tc>
          <w:tcPr>
            <w:tcW w:w="2462" w:type="pct"/>
            <w:tcBorders>
              <w:top w:val="nil"/>
              <w:left w:val="nil"/>
              <w:bottom w:val="nil"/>
              <w:right w:val="nil"/>
            </w:tcBorders>
            <w:vAlign w:val="bottom"/>
            <w:hideMark/>
          </w:tcPr>
          <w:p w14:paraId="66BE0C6A"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$4.02</w:t>
            </w:r>
          </w:p>
        </w:tc>
        <w:tc>
          <w:tcPr>
            <w:tcW w:w="788" w:type="pct"/>
            <w:tcBorders>
              <w:top w:val="nil"/>
              <w:left w:val="nil"/>
              <w:bottom w:val="nil"/>
              <w:right w:val="nil"/>
            </w:tcBorders>
            <w:noWrap/>
            <w:vAlign w:val="bottom"/>
            <w:hideMark/>
          </w:tcPr>
          <w:p w14:paraId="23EF3EA3"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2C42BDEB"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56DDAF48" w14:textId="77777777" w:rsidTr="00E05C17">
        <w:trPr>
          <w:trHeight w:val="705"/>
        </w:trPr>
        <w:tc>
          <w:tcPr>
            <w:tcW w:w="1114" w:type="pct"/>
            <w:tcBorders>
              <w:top w:val="nil"/>
              <w:left w:val="nil"/>
              <w:bottom w:val="nil"/>
              <w:right w:val="nil"/>
            </w:tcBorders>
            <w:vAlign w:val="bottom"/>
            <w:hideMark/>
          </w:tcPr>
          <w:p w14:paraId="278D54F4"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2462" w:type="pct"/>
            <w:tcBorders>
              <w:top w:val="nil"/>
              <w:left w:val="nil"/>
              <w:bottom w:val="nil"/>
              <w:right w:val="nil"/>
            </w:tcBorders>
            <w:noWrap/>
            <w:vAlign w:val="bottom"/>
            <w:hideMark/>
          </w:tcPr>
          <w:p w14:paraId="7400E3E9"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noWrap/>
            <w:vAlign w:val="bottom"/>
            <w:hideMark/>
          </w:tcPr>
          <w:p w14:paraId="61346897"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329D47F1"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0985B672" w14:textId="77777777" w:rsidTr="00E05C17">
        <w:trPr>
          <w:trHeight w:val="825"/>
        </w:trPr>
        <w:tc>
          <w:tcPr>
            <w:tcW w:w="1114" w:type="pct"/>
            <w:tcBorders>
              <w:top w:val="nil"/>
              <w:left w:val="nil"/>
              <w:bottom w:val="nil"/>
              <w:right w:val="nil"/>
            </w:tcBorders>
            <w:vAlign w:val="bottom"/>
            <w:hideMark/>
          </w:tcPr>
          <w:p w14:paraId="119A48FB"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SD15 Cortese (D)</w:t>
            </w:r>
          </w:p>
        </w:tc>
        <w:tc>
          <w:tcPr>
            <w:tcW w:w="2462" w:type="pct"/>
            <w:tcBorders>
              <w:top w:val="nil"/>
              <w:left w:val="nil"/>
              <w:bottom w:val="nil"/>
              <w:right w:val="nil"/>
            </w:tcBorders>
            <w:vAlign w:val="bottom"/>
            <w:hideMark/>
          </w:tcPr>
          <w:p w14:paraId="66EE8745"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$4.15</w:t>
            </w:r>
          </w:p>
        </w:tc>
        <w:tc>
          <w:tcPr>
            <w:tcW w:w="788" w:type="pct"/>
            <w:tcBorders>
              <w:top w:val="nil"/>
              <w:left w:val="nil"/>
              <w:bottom w:val="nil"/>
              <w:right w:val="nil"/>
            </w:tcBorders>
            <w:noWrap/>
            <w:vAlign w:val="bottom"/>
            <w:hideMark/>
          </w:tcPr>
          <w:p w14:paraId="67C843D9"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08DFB740"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58574949" w14:textId="77777777" w:rsidTr="00E05C17">
        <w:trPr>
          <w:trHeight w:val="675"/>
        </w:trPr>
        <w:tc>
          <w:tcPr>
            <w:tcW w:w="1114" w:type="pct"/>
            <w:tcBorders>
              <w:top w:val="nil"/>
              <w:left w:val="nil"/>
              <w:bottom w:val="nil"/>
              <w:right w:val="nil"/>
            </w:tcBorders>
            <w:vAlign w:val="bottom"/>
            <w:hideMark/>
          </w:tcPr>
          <w:p w14:paraId="69B4DC9F"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lastRenderedPageBreak/>
              <w:t>SD10 Wahab (D)</w:t>
            </w:r>
          </w:p>
        </w:tc>
        <w:tc>
          <w:tcPr>
            <w:tcW w:w="2462" w:type="pct"/>
            <w:tcBorders>
              <w:top w:val="nil"/>
              <w:left w:val="nil"/>
              <w:bottom w:val="nil"/>
              <w:right w:val="nil"/>
            </w:tcBorders>
            <w:vAlign w:val="bottom"/>
            <w:hideMark/>
          </w:tcPr>
          <w:p w14:paraId="5A80BC37"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$4.14</w:t>
            </w:r>
          </w:p>
        </w:tc>
        <w:tc>
          <w:tcPr>
            <w:tcW w:w="788" w:type="pct"/>
            <w:tcBorders>
              <w:top w:val="nil"/>
              <w:left w:val="nil"/>
              <w:bottom w:val="nil"/>
              <w:right w:val="nil"/>
            </w:tcBorders>
            <w:noWrap/>
            <w:vAlign w:val="bottom"/>
            <w:hideMark/>
          </w:tcPr>
          <w:p w14:paraId="17C17EDF"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752CF245"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6BF7B39C" w14:textId="77777777" w:rsidTr="00E05C17">
        <w:trPr>
          <w:trHeight w:val="465"/>
        </w:trPr>
        <w:tc>
          <w:tcPr>
            <w:tcW w:w="1114" w:type="pct"/>
            <w:tcBorders>
              <w:top w:val="nil"/>
              <w:left w:val="nil"/>
              <w:bottom w:val="nil"/>
              <w:right w:val="nil"/>
            </w:tcBorders>
            <w:vAlign w:val="bottom"/>
            <w:hideMark/>
          </w:tcPr>
          <w:p w14:paraId="27A3580D"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SD06 Niello (R)</w:t>
            </w:r>
          </w:p>
        </w:tc>
        <w:tc>
          <w:tcPr>
            <w:tcW w:w="2462" w:type="pct"/>
            <w:tcBorders>
              <w:top w:val="nil"/>
              <w:left w:val="nil"/>
              <w:bottom w:val="nil"/>
              <w:right w:val="nil"/>
            </w:tcBorders>
            <w:vAlign w:val="bottom"/>
            <w:hideMark/>
          </w:tcPr>
          <w:p w14:paraId="4075BF18"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$4.12</w:t>
            </w:r>
          </w:p>
        </w:tc>
        <w:tc>
          <w:tcPr>
            <w:tcW w:w="788" w:type="pct"/>
            <w:tcBorders>
              <w:top w:val="nil"/>
              <w:left w:val="nil"/>
              <w:bottom w:val="nil"/>
              <w:right w:val="nil"/>
            </w:tcBorders>
            <w:noWrap/>
            <w:vAlign w:val="bottom"/>
            <w:hideMark/>
          </w:tcPr>
          <w:p w14:paraId="0030C36E"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69C5FFEA"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28C18300" w14:textId="77777777" w:rsidTr="00E05C17">
        <w:trPr>
          <w:trHeight w:val="1515"/>
        </w:trPr>
        <w:tc>
          <w:tcPr>
            <w:tcW w:w="1114" w:type="pct"/>
            <w:tcBorders>
              <w:top w:val="nil"/>
              <w:left w:val="nil"/>
              <w:bottom w:val="nil"/>
              <w:right w:val="nil"/>
            </w:tcBorders>
            <w:vAlign w:val="bottom"/>
            <w:hideMark/>
          </w:tcPr>
          <w:p w14:paraId="18B25CB6"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SD01 Dahle (R)</w:t>
            </w:r>
          </w:p>
        </w:tc>
        <w:tc>
          <w:tcPr>
            <w:tcW w:w="2462" w:type="pct"/>
            <w:tcBorders>
              <w:top w:val="nil"/>
              <w:left w:val="nil"/>
              <w:bottom w:val="nil"/>
              <w:right w:val="nil"/>
            </w:tcBorders>
            <w:vAlign w:val="bottom"/>
            <w:hideMark/>
          </w:tcPr>
          <w:p w14:paraId="0D9B8178"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$4.11</w:t>
            </w:r>
          </w:p>
        </w:tc>
        <w:tc>
          <w:tcPr>
            <w:tcW w:w="788" w:type="pct"/>
            <w:tcBorders>
              <w:top w:val="nil"/>
              <w:left w:val="nil"/>
              <w:bottom w:val="nil"/>
              <w:right w:val="nil"/>
            </w:tcBorders>
            <w:noWrap/>
            <w:vAlign w:val="bottom"/>
            <w:hideMark/>
          </w:tcPr>
          <w:p w14:paraId="21C299C9"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4192688B"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3B56B5AE" w14:textId="77777777" w:rsidTr="00E05C17">
        <w:trPr>
          <w:trHeight w:val="465"/>
        </w:trPr>
        <w:tc>
          <w:tcPr>
            <w:tcW w:w="1114" w:type="pct"/>
            <w:tcBorders>
              <w:top w:val="nil"/>
              <w:left w:val="nil"/>
              <w:bottom w:val="nil"/>
              <w:right w:val="nil"/>
            </w:tcBorders>
            <w:vAlign w:val="bottom"/>
            <w:hideMark/>
          </w:tcPr>
          <w:p w14:paraId="22CB5D0F"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SD05 McNerney (D)</w:t>
            </w:r>
          </w:p>
        </w:tc>
        <w:tc>
          <w:tcPr>
            <w:tcW w:w="2462" w:type="pct"/>
            <w:tcBorders>
              <w:top w:val="nil"/>
              <w:left w:val="nil"/>
              <w:bottom w:val="nil"/>
              <w:right w:val="nil"/>
            </w:tcBorders>
            <w:vAlign w:val="bottom"/>
            <w:hideMark/>
          </w:tcPr>
          <w:p w14:paraId="6EBDDBEB"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$4.11</w:t>
            </w:r>
          </w:p>
        </w:tc>
        <w:tc>
          <w:tcPr>
            <w:tcW w:w="788" w:type="pct"/>
            <w:tcBorders>
              <w:top w:val="nil"/>
              <w:left w:val="nil"/>
              <w:bottom w:val="nil"/>
              <w:right w:val="nil"/>
            </w:tcBorders>
            <w:noWrap/>
            <w:vAlign w:val="bottom"/>
            <w:hideMark/>
          </w:tcPr>
          <w:p w14:paraId="04AAAD8D"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22D0B259"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505AF84D" w14:textId="77777777" w:rsidTr="00E05C17">
        <w:trPr>
          <w:trHeight w:val="1500"/>
        </w:trPr>
        <w:tc>
          <w:tcPr>
            <w:tcW w:w="1114" w:type="pct"/>
            <w:tcBorders>
              <w:top w:val="nil"/>
              <w:left w:val="nil"/>
              <w:bottom w:val="nil"/>
              <w:right w:val="nil"/>
            </w:tcBorders>
            <w:vAlign w:val="bottom"/>
            <w:hideMark/>
          </w:tcPr>
          <w:p w14:paraId="0884BAA4"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2462" w:type="pct"/>
            <w:tcBorders>
              <w:top w:val="nil"/>
              <w:left w:val="nil"/>
              <w:bottom w:val="nil"/>
              <w:right w:val="nil"/>
            </w:tcBorders>
            <w:noWrap/>
            <w:vAlign w:val="bottom"/>
            <w:hideMark/>
          </w:tcPr>
          <w:p w14:paraId="66F8E4AA"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noWrap/>
            <w:vAlign w:val="bottom"/>
            <w:hideMark/>
          </w:tcPr>
          <w:p w14:paraId="75694BB6"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638A6BEB"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0FCC38E5" w14:textId="77777777" w:rsidTr="00E05C17">
        <w:trPr>
          <w:trHeight w:val="1500"/>
        </w:trPr>
        <w:tc>
          <w:tcPr>
            <w:tcW w:w="1114" w:type="pct"/>
            <w:tcBorders>
              <w:top w:val="nil"/>
              <w:left w:val="nil"/>
              <w:bottom w:val="nil"/>
              <w:right w:val="nil"/>
            </w:tcBorders>
            <w:vAlign w:val="bottom"/>
            <w:hideMark/>
          </w:tcPr>
          <w:p w14:paraId="4CF48B52"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AD10 Nguyen (D)</w:t>
            </w:r>
          </w:p>
        </w:tc>
        <w:tc>
          <w:tcPr>
            <w:tcW w:w="2462" w:type="pct"/>
            <w:tcBorders>
              <w:top w:val="nil"/>
              <w:left w:val="nil"/>
              <w:bottom w:val="nil"/>
              <w:right w:val="nil"/>
            </w:tcBorders>
            <w:vAlign w:val="bottom"/>
            <w:hideMark/>
          </w:tcPr>
          <w:p w14:paraId="5C91B176"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$4.10</w:t>
            </w:r>
          </w:p>
        </w:tc>
        <w:tc>
          <w:tcPr>
            <w:tcW w:w="788" w:type="pct"/>
            <w:tcBorders>
              <w:top w:val="nil"/>
              <w:left w:val="nil"/>
              <w:bottom w:val="nil"/>
              <w:right w:val="nil"/>
            </w:tcBorders>
            <w:noWrap/>
            <w:vAlign w:val="bottom"/>
            <w:hideMark/>
          </w:tcPr>
          <w:p w14:paraId="5C51F28D"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4ED300A2"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67AF7F84" w14:textId="77777777" w:rsidTr="00E05C17">
        <w:trPr>
          <w:trHeight w:val="300"/>
        </w:trPr>
        <w:tc>
          <w:tcPr>
            <w:tcW w:w="1114" w:type="pct"/>
            <w:tcBorders>
              <w:top w:val="nil"/>
              <w:left w:val="nil"/>
              <w:bottom w:val="nil"/>
              <w:right w:val="nil"/>
            </w:tcBorders>
            <w:vAlign w:val="bottom"/>
            <w:hideMark/>
          </w:tcPr>
          <w:p w14:paraId="28AF6E34"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AD09 Flora (R)</w:t>
            </w:r>
          </w:p>
        </w:tc>
        <w:tc>
          <w:tcPr>
            <w:tcW w:w="2462" w:type="pct"/>
            <w:tcBorders>
              <w:top w:val="nil"/>
              <w:left w:val="nil"/>
              <w:bottom w:val="nil"/>
              <w:right w:val="nil"/>
            </w:tcBorders>
            <w:vAlign w:val="bottom"/>
            <w:hideMark/>
          </w:tcPr>
          <w:p w14:paraId="6D237F87"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$4.09</w:t>
            </w:r>
          </w:p>
        </w:tc>
        <w:tc>
          <w:tcPr>
            <w:tcW w:w="788" w:type="pct"/>
            <w:tcBorders>
              <w:top w:val="nil"/>
              <w:left w:val="nil"/>
              <w:bottom w:val="nil"/>
              <w:right w:val="nil"/>
            </w:tcBorders>
            <w:noWrap/>
            <w:vAlign w:val="bottom"/>
            <w:hideMark/>
          </w:tcPr>
          <w:p w14:paraId="05E0588E"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0AB1F277"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7B5AC392" w14:textId="77777777" w:rsidTr="00E05C17">
        <w:trPr>
          <w:trHeight w:val="300"/>
        </w:trPr>
        <w:tc>
          <w:tcPr>
            <w:tcW w:w="1114" w:type="pct"/>
            <w:tcBorders>
              <w:top w:val="nil"/>
              <w:left w:val="nil"/>
              <w:bottom w:val="nil"/>
              <w:right w:val="nil"/>
            </w:tcBorders>
            <w:vAlign w:val="bottom"/>
            <w:hideMark/>
          </w:tcPr>
          <w:p w14:paraId="52BBE54F"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AD22 Alanis (R)</w:t>
            </w:r>
          </w:p>
        </w:tc>
        <w:tc>
          <w:tcPr>
            <w:tcW w:w="2462" w:type="pct"/>
            <w:tcBorders>
              <w:top w:val="nil"/>
              <w:left w:val="nil"/>
              <w:bottom w:val="nil"/>
              <w:right w:val="nil"/>
            </w:tcBorders>
            <w:vAlign w:val="bottom"/>
            <w:hideMark/>
          </w:tcPr>
          <w:p w14:paraId="0D58F94B"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$4.05</w:t>
            </w:r>
          </w:p>
        </w:tc>
        <w:tc>
          <w:tcPr>
            <w:tcW w:w="788" w:type="pct"/>
            <w:tcBorders>
              <w:top w:val="nil"/>
              <w:left w:val="nil"/>
              <w:bottom w:val="nil"/>
              <w:right w:val="nil"/>
            </w:tcBorders>
            <w:vAlign w:val="bottom"/>
            <w:hideMark/>
          </w:tcPr>
          <w:p w14:paraId="296073CF"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7447A390"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252CC1B3" w14:textId="77777777" w:rsidTr="00E05C17">
        <w:trPr>
          <w:trHeight w:val="630"/>
        </w:trPr>
        <w:tc>
          <w:tcPr>
            <w:tcW w:w="1114" w:type="pct"/>
            <w:tcBorders>
              <w:top w:val="nil"/>
              <w:left w:val="nil"/>
              <w:bottom w:val="nil"/>
              <w:right w:val="nil"/>
            </w:tcBorders>
            <w:vAlign w:val="bottom"/>
            <w:hideMark/>
          </w:tcPr>
          <w:p w14:paraId="640DA668"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AD13 Ransom (D)</w:t>
            </w:r>
          </w:p>
        </w:tc>
        <w:tc>
          <w:tcPr>
            <w:tcW w:w="2462" w:type="pct"/>
            <w:tcBorders>
              <w:top w:val="nil"/>
              <w:left w:val="nil"/>
              <w:bottom w:val="nil"/>
              <w:right w:val="nil"/>
            </w:tcBorders>
            <w:vAlign w:val="bottom"/>
            <w:hideMark/>
          </w:tcPr>
          <w:p w14:paraId="7AB5D30C"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$3.96</w:t>
            </w:r>
          </w:p>
        </w:tc>
        <w:tc>
          <w:tcPr>
            <w:tcW w:w="788" w:type="pct"/>
            <w:tcBorders>
              <w:top w:val="nil"/>
              <w:left w:val="nil"/>
              <w:bottom w:val="nil"/>
              <w:right w:val="nil"/>
            </w:tcBorders>
            <w:vAlign w:val="bottom"/>
            <w:hideMark/>
          </w:tcPr>
          <w:p w14:paraId="2C6E6973"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vAlign w:val="bottom"/>
            <w:hideMark/>
          </w:tcPr>
          <w:p w14:paraId="22D01E72"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5764E799" w14:textId="77777777" w:rsidTr="00E05C17">
        <w:trPr>
          <w:trHeight w:val="405"/>
        </w:trPr>
        <w:tc>
          <w:tcPr>
            <w:tcW w:w="1114" w:type="pct"/>
            <w:tcBorders>
              <w:top w:val="nil"/>
              <w:left w:val="nil"/>
              <w:bottom w:val="nil"/>
              <w:right w:val="nil"/>
            </w:tcBorders>
            <w:vAlign w:val="bottom"/>
            <w:hideMark/>
          </w:tcPr>
          <w:p w14:paraId="410FB20A"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AD03 Gallagher (R)</w:t>
            </w:r>
          </w:p>
        </w:tc>
        <w:tc>
          <w:tcPr>
            <w:tcW w:w="2462" w:type="pct"/>
            <w:tcBorders>
              <w:top w:val="nil"/>
              <w:left w:val="nil"/>
              <w:bottom w:val="nil"/>
              <w:right w:val="nil"/>
            </w:tcBorders>
            <w:vAlign w:val="bottom"/>
            <w:hideMark/>
          </w:tcPr>
          <w:p w14:paraId="122E0473"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$3.94</w:t>
            </w:r>
          </w:p>
        </w:tc>
        <w:tc>
          <w:tcPr>
            <w:tcW w:w="788" w:type="pct"/>
            <w:tcBorders>
              <w:top w:val="nil"/>
              <w:left w:val="nil"/>
              <w:bottom w:val="nil"/>
              <w:right w:val="nil"/>
            </w:tcBorders>
            <w:vAlign w:val="bottom"/>
            <w:hideMark/>
          </w:tcPr>
          <w:p w14:paraId="0A6D68F4" w14:textId="77777777" w:rsidR="00082E66" w:rsidRPr="00082E66" w:rsidRDefault="00082E66" w:rsidP="00082E66">
            <w:pPr>
              <w:rPr>
                <w:rFonts w:ascii="Calibri" w:eastAsia="Times New Roman" w:hAnsi="Calibri" w:cs="Calibri"/>
                <w:color w:val="000000"/>
                <w:kern w:val="0"/>
                <w14:ligatures w14:val="none"/>
              </w:rPr>
            </w:pPr>
          </w:p>
        </w:tc>
        <w:tc>
          <w:tcPr>
            <w:tcW w:w="636" w:type="pct"/>
            <w:tcBorders>
              <w:top w:val="nil"/>
              <w:left w:val="nil"/>
              <w:bottom w:val="nil"/>
              <w:right w:val="nil"/>
            </w:tcBorders>
            <w:noWrap/>
            <w:vAlign w:val="bottom"/>
            <w:hideMark/>
          </w:tcPr>
          <w:p w14:paraId="225FFC75"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48B1B6E5" w14:textId="77777777" w:rsidTr="00E05C17">
        <w:trPr>
          <w:trHeight w:val="1200"/>
        </w:trPr>
        <w:tc>
          <w:tcPr>
            <w:tcW w:w="1114" w:type="pct"/>
            <w:tcBorders>
              <w:top w:val="nil"/>
              <w:left w:val="nil"/>
              <w:bottom w:val="nil"/>
              <w:right w:val="nil"/>
            </w:tcBorders>
            <w:vAlign w:val="bottom"/>
            <w:hideMark/>
          </w:tcPr>
          <w:p w14:paraId="5515C347"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2462" w:type="pct"/>
            <w:tcBorders>
              <w:top w:val="nil"/>
              <w:left w:val="nil"/>
              <w:bottom w:val="nil"/>
              <w:right w:val="nil"/>
            </w:tcBorders>
            <w:vAlign w:val="bottom"/>
            <w:hideMark/>
          </w:tcPr>
          <w:p w14:paraId="3EF16DCF"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center"/>
            <w:hideMark/>
          </w:tcPr>
          <w:p w14:paraId="4F0E7112"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78149554"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0B42178C" w14:textId="77777777" w:rsidTr="00E06415">
        <w:trPr>
          <w:trHeight w:val="675"/>
        </w:trPr>
        <w:tc>
          <w:tcPr>
            <w:tcW w:w="5000" w:type="pct"/>
            <w:gridSpan w:val="4"/>
            <w:tcBorders>
              <w:top w:val="nil"/>
              <w:left w:val="nil"/>
              <w:bottom w:val="nil"/>
              <w:right w:val="nil"/>
            </w:tcBorders>
            <w:vAlign w:val="center"/>
            <w:hideMark/>
          </w:tcPr>
          <w:p w14:paraId="64C240F0" w14:textId="77777777" w:rsidR="00082E66" w:rsidRPr="00082E66" w:rsidRDefault="00082E66" w:rsidP="00082E66">
            <w:pPr>
              <w:rPr>
                <w:rFonts w:ascii="Georgia" w:eastAsia="Times New Roman" w:hAnsi="Georgia" w:cs="Calibri"/>
                <w:b/>
                <w:bCs/>
                <w:color w:val="000000"/>
                <w:kern w:val="0"/>
                <w:sz w:val="36"/>
                <w:szCs w:val="36"/>
                <w14:ligatures w14:val="none"/>
              </w:rPr>
            </w:pPr>
            <w:r w:rsidRPr="00082E66">
              <w:rPr>
                <w:rFonts w:ascii="Georgia" w:eastAsia="Times New Roman" w:hAnsi="Georgia" w:cs="Calibri"/>
                <w:b/>
                <w:bCs/>
                <w:color w:val="000000"/>
                <w:kern w:val="0"/>
                <w:sz w:val="36"/>
                <w:szCs w:val="36"/>
                <w14:ligatures w14:val="none"/>
              </w:rPr>
              <w:t>California Residential Electricity Price</w:t>
            </w:r>
          </w:p>
        </w:tc>
      </w:tr>
      <w:tr w:rsidR="00082E66" w:rsidRPr="00082E66" w14:paraId="4441658F" w14:textId="77777777" w:rsidTr="00E05C17">
        <w:trPr>
          <w:trHeight w:val="300"/>
        </w:trPr>
        <w:tc>
          <w:tcPr>
            <w:tcW w:w="1114" w:type="pct"/>
            <w:tcBorders>
              <w:top w:val="nil"/>
              <w:left w:val="nil"/>
              <w:bottom w:val="nil"/>
              <w:right w:val="nil"/>
            </w:tcBorders>
            <w:vAlign w:val="bottom"/>
            <w:hideMark/>
          </w:tcPr>
          <w:p w14:paraId="018E1FF8" w14:textId="77777777" w:rsidR="00082E66" w:rsidRPr="00082E66" w:rsidRDefault="00082E66" w:rsidP="00082E66">
            <w:pPr>
              <w:rPr>
                <w:rFonts w:ascii="Georgia" w:eastAsia="Times New Roman" w:hAnsi="Georgia" w:cs="Calibri"/>
                <w:b/>
                <w:bCs/>
                <w:color w:val="000000"/>
                <w:kern w:val="0"/>
                <w:sz w:val="36"/>
                <w:szCs w:val="36"/>
                <w14:ligatures w14:val="none"/>
              </w:rPr>
            </w:pPr>
          </w:p>
        </w:tc>
        <w:tc>
          <w:tcPr>
            <w:tcW w:w="2462" w:type="pct"/>
            <w:tcBorders>
              <w:top w:val="nil"/>
              <w:left w:val="nil"/>
              <w:bottom w:val="nil"/>
              <w:right w:val="nil"/>
            </w:tcBorders>
            <w:vAlign w:val="bottom"/>
            <w:hideMark/>
          </w:tcPr>
          <w:p w14:paraId="446D12DC"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27794A61"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732742FA"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1FA4057A" w14:textId="77777777" w:rsidTr="00E05C17">
        <w:trPr>
          <w:trHeight w:val="675"/>
        </w:trPr>
        <w:tc>
          <w:tcPr>
            <w:tcW w:w="1114" w:type="pct"/>
            <w:tcBorders>
              <w:top w:val="nil"/>
              <w:left w:val="nil"/>
              <w:bottom w:val="nil"/>
              <w:right w:val="nil"/>
            </w:tcBorders>
            <w:vAlign w:val="center"/>
            <w:hideMark/>
          </w:tcPr>
          <w:p w14:paraId="1BE1F8CA" w14:textId="77777777" w:rsidR="00082E66" w:rsidRPr="00082E66" w:rsidRDefault="00082E66" w:rsidP="00082E66">
            <w:pPr>
              <w:jc w:val="center"/>
              <w:rPr>
                <w:rFonts w:ascii="Calibri" w:eastAsia="Times New Roman" w:hAnsi="Calibri" w:cs="Calibri"/>
                <w:b/>
                <w:bCs/>
                <w:color w:val="FF0000"/>
                <w:kern w:val="0"/>
                <w:sz w:val="63"/>
                <w:szCs w:val="63"/>
                <w14:ligatures w14:val="none"/>
              </w:rPr>
            </w:pPr>
            <w:r w:rsidRPr="00082E66">
              <w:rPr>
                <w:rFonts w:ascii="Calibri" w:eastAsia="Times New Roman" w:hAnsi="Calibri" w:cs="Calibri"/>
                <w:b/>
                <w:bCs/>
                <w:color w:val="0F9ED5" w:themeColor="accent4"/>
                <w:kern w:val="0"/>
                <w:sz w:val="63"/>
                <w:szCs w:val="63"/>
                <w14:ligatures w14:val="none"/>
              </w:rPr>
              <w:t>96.7%</w:t>
            </w:r>
          </w:p>
        </w:tc>
        <w:tc>
          <w:tcPr>
            <w:tcW w:w="3886" w:type="pct"/>
            <w:gridSpan w:val="3"/>
            <w:vMerge w:val="restart"/>
            <w:tcBorders>
              <w:top w:val="nil"/>
              <w:left w:val="nil"/>
              <w:bottom w:val="nil"/>
              <w:right w:val="nil"/>
            </w:tcBorders>
            <w:vAlign w:val="center"/>
            <w:hideMark/>
          </w:tcPr>
          <w:p w14:paraId="47122F0E" w14:textId="1217AD4E"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California average Residential Price for the 12 months ended October 2025 was 32.04 cents/kWh, 96.7% higher than the US average of 16.29 cents/kWh for all states other than California.  California's residential prices were the highest among the contiguous states and DC.</w:t>
            </w:r>
          </w:p>
        </w:tc>
      </w:tr>
      <w:tr w:rsidR="00082E66" w:rsidRPr="00082E66" w14:paraId="038FA017" w14:textId="77777777" w:rsidTr="00E05C17">
        <w:trPr>
          <w:trHeight w:val="600"/>
        </w:trPr>
        <w:tc>
          <w:tcPr>
            <w:tcW w:w="1114" w:type="pct"/>
            <w:tcBorders>
              <w:top w:val="nil"/>
              <w:left w:val="nil"/>
              <w:bottom w:val="nil"/>
              <w:right w:val="nil"/>
            </w:tcBorders>
            <w:vAlign w:val="bottom"/>
            <w:hideMark/>
          </w:tcPr>
          <w:p w14:paraId="7272E78B" w14:textId="77777777" w:rsidR="00082E66" w:rsidRPr="00082E66" w:rsidRDefault="00082E66" w:rsidP="00082E66">
            <w:pPr>
              <w:jc w:val="cente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Above Average for Rest of US</w:t>
            </w:r>
          </w:p>
        </w:tc>
        <w:tc>
          <w:tcPr>
            <w:tcW w:w="3886" w:type="pct"/>
            <w:gridSpan w:val="3"/>
            <w:vMerge/>
            <w:tcBorders>
              <w:top w:val="nil"/>
              <w:left w:val="nil"/>
              <w:bottom w:val="nil"/>
              <w:right w:val="nil"/>
            </w:tcBorders>
            <w:vAlign w:val="center"/>
            <w:hideMark/>
          </w:tcPr>
          <w:p w14:paraId="3D29B19D" w14:textId="77777777" w:rsidR="00082E66" w:rsidRPr="00082E66" w:rsidRDefault="00082E66" w:rsidP="00082E66">
            <w:pPr>
              <w:rPr>
                <w:rFonts w:ascii="Calibri" w:eastAsia="Times New Roman" w:hAnsi="Calibri" w:cs="Calibri"/>
                <w:color w:val="000000"/>
                <w:kern w:val="0"/>
                <w14:ligatures w14:val="none"/>
              </w:rPr>
            </w:pPr>
          </w:p>
        </w:tc>
      </w:tr>
      <w:tr w:rsidR="00082E66" w:rsidRPr="00082E66" w14:paraId="31D05699" w14:textId="77777777" w:rsidTr="00E05C17">
        <w:trPr>
          <w:trHeight w:val="1200"/>
        </w:trPr>
        <w:tc>
          <w:tcPr>
            <w:tcW w:w="1114" w:type="pct"/>
            <w:tcBorders>
              <w:top w:val="nil"/>
              <w:left w:val="nil"/>
              <w:bottom w:val="nil"/>
              <w:right w:val="nil"/>
            </w:tcBorders>
            <w:vAlign w:val="bottom"/>
            <w:hideMark/>
          </w:tcPr>
          <w:p w14:paraId="37FD53D8" w14:textId="77777777" w:rsidR="00082E66" w:rsidRPr="00082E66" w:rsidRDefault="00082E66" w:rsidP="00082E66">
            <w:pPr>
              <w:jc w:val="center"/>
              <w:rPr>
                <w:rFonts w:ascii="Calibri" w:eastAsia="Times New Roman" w:hAnsi="Calibri" w:cs="Calibri"/>
                <w:color w:val="000000"/>
                <w:kern w:val="0"/>
                <w14:ligatures w14:val="none"/>
              </w:rPr>
            </w:pPr>
          </w:p>
        </w:tc>
        <w:tc>
          <w:tcPr>
            <w:tcW w:w="2462" w:type="pct"/>
            <w:tcBorders>
              <w:top w:val="nil"/>
              <w:left w:val="nil"/>
              <w:bottom w:val="nil"/>
              <w:right w:val="nil"/>
            </w:tcBorders>
            <w:vAlign w:val="bottom"/>
            <w:hideMark/>
          </w:tcPr>
          <w:p w14:paraId="0C8655DF"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center"/>
            <w:hideMark/>
          </w:tcPr>
          <w:p w14:paraId="1898FBAB"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3FFB96AE"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581D46EE" w14:textId="77777777" w:rsidTr="00E06415">
        <w:trPr>
          <w:trHeight w:val="465"/>
        </w:trPr>
        <w:tc>
          <w:tcPr>
            <w:tcW w:w="5000" w:type="pct"/>
            <w:gridSpan w:val="4"/>
            <w:tcBorders>
              <w:top w:val="nil"/>
              <w:left w:val="nil"/>
              <w:bottom w:val="nil"/>
              <w:right w:val="nil"/>
            </w:tcBorders>
            <w:vAlign w:val="bottom"/>
            <w:hideMark/>
          </w:tcPr>
          <w:p w14:paraId="2096E6B4" w14:textId="77777777" w:rsidR="00082E66" w:rsidRPr="00082E66" w:rsidRDefault="00082E66" w:rsidP="00082E66">
            <w:pPr>
              <w:rPr>
                <w:rFonts w:ascii="Georgia" w:eastAsia="Times New Roman" w:hAnsi="Georgia" w:cs="Calibri"/>
                <w:b/>
                <w:bCs/>
                <w:color w:val="000000"/>
                <w:kern w:val="0"/>
                <w:sz w:val="36"/>
                <w:szCs w:val="36"/>
                <w14:ligatures w14:val="none"/>
              </w:rPr>
            </w:pPr>
            <w:r w:rsidRPr="00082E66">
              <w:rPr>
                <w:rFonts w:ascii="Georgia" w:eastAsia="Times New Roman" w:hAnsi="Georgia" w:cs="Calibri"/>
                <w:b/>
                <w:bCs/>
                <w:color w:val="000000"/>
                <w:kern w:val="0"/>
                <w:sz w:val="36"/>
                <w:szCs w:val="36"/>
                <w14:ligatures w14:val="none"/>
              </w:rPr>
              <w:lastRenderedPageBreak/>
              <w:t>California Residential Electric Bill</w:t>
            </w:r>
          </w:p>
        </w:tc>
      </w:tr>
      <w:tr w:rsidR="00082E66" w:rsidRPr="00082E66" w14:paraId="2D67643F" w14:textId="77777777" w:rsidTr="00E05C17">
        <w:trPr>
          <w:trHeight w:val="300"/>
        </w:trPr>
        <w:tc>
          <w:tcPr>
            <w:tcW w:w="1114" w:type="pct"/>
            <w:tcBorders>
              <w:top w:val="nil"/>
              <w:left w:val="nil"/>
              <w:bottom w:val="nil"/>
              <w:right w:val="nil"/>
            </w:tcBorders>
            <w:vAlign w:val="bottom"/>
            <w:hideMark/>
          </w:tcPr>
          <w:p w14:paraId="7636F37F" w14:textId="77777777" w:rsidR="00082E66" w:rsidRPr="00082E66" w:rsidRDefault="00082E66" w:rsidP="00082E66">
            <w:pPr>
              <w:rPr>
                <w:rFonts w:ascii="Georgia" w:eastAsia="Times New Roman" w:hAnsi="Georgia" w:cs="Calibri"/>
                <w:b/>
                <w:bCs/>
                <w:color w:val="000000"/>
                <w:kern w:val="0"/>
                <w:sz w:val="36"/>
                <w:szCs w:val="36"/>
                <w14:ligatures w14:val="none"/>
              </w:rPr>
            </w:pPr>
          </w:p>
        </w:tc>
        <w:tc>
          <w:tcPr>
            <w:tcW w:w="2462" w:type="pct"/>
            <w:tcBorders>
              <w:top w:val="nil"/>
              <w:left w:val="nil"/>
              <w:bottom w:val="nil"/>
              <w:right w:val="nil"/>
            </w:tcBorders>
            <w:vAlign w:val="bottom"/>
            <w:hideMark/>
          </w:tcPr>
          <w:p w14:paraId="35284394"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64B542BB"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18CDE218"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3E7F2561" w14:textId="77777777" w:rsidTr="00E05C17">
        <w:trPr>
          <w:trHeight w:val="1500"/>
        </w:trPr>
        <w:tc>
          <w:tcPr>
            <w:tcW w:w="1114" w:type="pct"/>
            <w:tcBorders>
              <w:top w:val="nil"/>
              <w:left w:val="nil"/>
              <w:bottom w:val="nil"/>
              <w:right w:val="nil"/>
            </w:tcBorders>
            <w:noWrap/>
            <w:vAlign w:val="center"/>
            <w:hideMark/>
          </w:tcPr>
          <w:p w14:paraId="727DA132" w14:textId="339BEDC6" w:rsidR="00082E66" w:rsidRPr="00082E66" w:rsidRDefault="00082E66" w:rsidP="00082E66">
            <w:pPr>
              <w:jc w:val="center"/>
              <w:rPr>
                <w:rFonts w:ascii="Arial" w:eastAsia="Times New Roman" w:hAnsi="Arial" w:cs="Arial"/>
                <w:b/>
                <w:bCs/>
                <w:kern w:val="0"/>
                <w:sz w:val="63"/>
                <w:szCs w:val="63"/>
                <w14:ligatures w14:val="none"/>
              </w:rPr>
            </w:pPr>
            <w:r w:rsidRPr="00082E66">
              <w:rPr>
                <w:rFonts w:ascii="Arial" w:eastAsia="Times New Roman" w:hAnsi="Arial" w:cs="Arial"/>
                <w:b/>
                <w:bCs/>
                <w:color w:val="0F9ED5" w:themeColor="accent4"/>
                <w:kern w:val="0"/>
                <w:sz w:val="63"/>
                <w:szCs w:val="63"/>
                <w14:ligatures w14:val="none"/>
              </w:rPr>
              <w:t>16th</w:t>
            </w:r>
          </w:p>
        </w:tc>
        <w:tc>
          <w:tcPr>
            <w:tcW w:w="3886" w:type="pct"/>
            <w:gridSpan w:val="3"/>
            <w:vMerge w:val="restart"/>
            <w:tcBorders>
              <w:top w:val="nil"/>
              <w:left w:val="nil"/>
              <w:bottom w:val="nil"/>
              <w:right w:val="nil"/>
            </w:tcBorders>
            <w:vAlign w:val="center"/>
            <w:hideMark/>
          </w:tcPr>
          <w:p w14:paraId="589DF2F9" w14:textId="73251BF6"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For the 12 months ended October 2025, the average annual Residential electricity bill in California was $1</w:t>
            </w:r>
            <w:r w:rsidR="00852751">
              <w:rPr>
                <w:rFonts w:ascii="Calibri" w:eastAsia="Times New Roman" w:hAnsi="Calibri" w:cs="Calibri"/>
                <w:color w:val="000000"/>
                <w:kern w:val="0"/>
                <w14:ligatures w14:val="none"/>
              </w:rPr>
              <w:t>,</w:t>
            </w:r>
            <w:r w:rsidRPr="00082E66">
              <w:rPr>
                <w:rFonts w:ascii="Calibri" w:eastAsia="Times New Roman" w:hAnsi="Calibri" w:cs="Calibri"/>
                <w:color w:val="000000"/>
                <w:kern w:val="0"/>
                <w14:ligatures w14:val="none"/>
              </w:rPr>
              <w:t>876, or 88.7% higher ($882) than the comparable bill in 2010 (the year the AB 32 implementation began with the Early Action items).  In this same period, the average US (less CA) electricity bill for all the other states grew only 31.3% ($427).</w:t>
            </w:r>
            <w:r w:rsidRPr="00082E66">
              <w:rPr>
                <w:rFonts w:ascii="Calibri" w:eastAsia="Times New Roman" w:hAnsi="Calibri" w:cs="Calibri"/>
                <w:color w:val="000000"/>
                <w:kern w:val="0"/>
                <w14:ligatures w14:val="none"/>
              </w:rPr>
              <w:br/>
            </w:r>
            <w:r w:rsidRPr="00082E66">
              <w:rPr>
                <w:rFonts w:ascii="Calibri" w:eastAsia="Times New Roman" w:hAnsi="Calibri" w:cs="Calibri"/>
                <w:color w:val="000000"/>
                <w:kern w:val="0"/>
                <w14:ligatures w14:val="none"/>
              </w:rPr>
              <w:br/>
              <w:t>In 2010, California had the 9th lowest residential electricity bill among the contiguous states and DC.  In the latest data</w:t>
            </w:r>
            <w:r w:rsidR="00852751">
              <w:rPr>
                <w:rFonts w:ascii="Calibri" w:eastAsia="Times New Roman" w:hAnsi="Calibri" w:cs="Calibri"/>
                <w:color w:val="000000"/>
                <w:kern w:val="0"/>
                <w14:ligatures w14:val="none"/>
              </w:rPr>
              <w:t xml:space="preserve"> as portions of the nation experienced higher winter costs</w:t>
            </w:r>
            <w:r w:rsidRPr="00082E66">
              <w:rPr>
                <w:rFonts w:ascii="Calibri" w:eastAsia="Times New Roman" w:hAnsi="Calibri" w:cs="Calibri"/>
                <w:color w:val="000000"/>
                <w:kern w:val="0"/>
                <w14:ligatures w14:val="none"/>
              </w:rPr>
              <w:t xml:space="preserve">, it </w:t>
            </w:r>
            <w:r w:rsidR="00852751">
              <w:rPr>
                <w:rFonts w:ascii="Calibri" w:eastAsia="Times New Roman" w:hAnsi="Calibri" w:cs="Calibri"/>
                <w:color w:val="000000"/>
                <w:kern w:val="0"/>
                <w14:ligatures w14:val="none"/>
              </w:rPr>
              <w:t>tied with Delaware for</w:t>
            </w:r>
            <w:r w:rsidRPr="00082E66">
              <w:rPr>
                <w:rFonts w:ascii="Calibri" w:eastAsia="Times New Roman" w:hAnsi="Calibri" w:cs="Calibri"/>
                <w:color w:val="000000"/>
                <w:kern w:val="0"/>
                <w14:ligatures w14:val="none"/>
              </w:rPr>
              <w:t xml:space="preserve"> the 16th highest.</w:t>
            </w:r>
          </w:p>
        </w:tc>
      </w:tr>
      <w:tr w:rsidR="00082E66" w:rsidRPr="00082E66" w14:paraId="111F6F52" w14:textId="77777777" w:rsidTr="00E05C17">
        <w:trPr>
          <w:trHeight w:val="300"/>
        </w:trPr>
        <w:tc>
          <w:tcPr>
            <w:tcW w:w="1114" w:type="pct"/>
            <w:tcBorders>
              <w:top w:val="nil"/>
              <w:left w:val="nil"/>
              <w:bottom w:val="nil"/>
              <w:right w:val="nil"/>
            </w:tcBorders>
            <w:vAlign w:val="bottom"/>
            <w:hideMark/>
          </w:tcPr>
          <w:p w14:paraId="2EC9DBCC" w14:textId="77777777" w:rsidR="00082E66" w:rsidRPr="00082E66" w:rsidRDefault="00082E66" w:rsidP="00082E66">
            <w:pPr>
              <w:jc w:val="cente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Ranked by Cost</w:t>
            </w:r>
          </w:p>
        </w:tc>
        <w:tc>
          <w:tcPr>
            <w:tcW w:w="3886" w:type="pct"/>
            <w:gridSpan w:val="3"/>
            <w:vMerge/>
            <w:tcBorders>
              <w:top w:val="nil"/>
              <w:left w:val="nil"/>
              <w:bottom w:val="nil"/>
              <w:right w:val="nil"/>
            </w:tcBorders>
            <w:vAlign w:val="center"/>
            <w:hideMark/>
          </w:tcPr>
          <w:p w14:paraId="1101E79F" w14:textId="77777777" w:rsidR="00082E66" w:rsidRPr="00082E66" w:rsidRDefault="00082E66" w:rsidP="00082E66">
            <w:pPr>
              <w:rPr>
                <w:rFonts w:ascii="Calibri" w:eastAsia="Times New Roman" w:hAnsi="Calibri" w:cs="Calibri"/>
                <w:color w:val="000000"/>
                <w:kern w:val="0"/>
                <w14:ligatures w14:val="none"/>
              </w:rPr>
            </w:pPr>
          </w:p>
        </w:tc>
      </w:tr>
      <w:tr w:rsidR="00082E66" w:rsidRPr="00082E66" w14:paraId="40B0E709" w14:textId="77777777" w:rsidTr="00E05C17">
        <w:trPr>
          <w:trHeight w:val="300"/>
        </w:trPr>
        <w:tc>
          <w:tcPr>
            <w:tcW w:w="1114" w:type="pct"/>
            <w:tcBorders>
              <w:top w:val="nil"/>
              <w:left w:val="nil"/>
              <w:bottom w:val="nil"/>
              <w:right w:val="nil"/>
            </w:tcBorders>
            <w:vAlign w:val="bottom"/>
            <w:hideMark/>
          </w:tcPr>
          <w:p w14:paraId="7DFE44DF" w14:textId="77777777" w:rsidR="00082E66" w:rsidRPr="00082E66" w:rsidRDefault="00082E66" w:rsidP="00082E66">
            <w:pPr>
              <w:jc w:val="center"/>
              <w:rPr>
                <w:rFonts w:ascii="Calibri" w:eastAsia="Times New Roman" w:hAnsi="Calibri" w:cs="Calibri"/>
                <w:color w:val="000000"/>
                <w:kern w:val="0"/>
                <w14:ligatures w14:val="none"/>
              </w:rPr>
            </w:pPr>
          </w:p>
        </w:tc>
        <w:tc>
          <w:tcPr>
            <w:tcW w:w="3886" w:type="pct"/>
            <w:gridSpan w:val="3"/>
            <w:tcBorders>
              <w:top w:val="nil"/>
              <w:left w:val="nil"/>
              <w:bottom w:val="nil"/>
              <w:right w:val="nil"/>
            </w:tcBorders>
            <w:vAlign w:val="bottom"/>
            <w:hideMark/>
          </w:tcPr>
          <w:p w14:paraId="1EA52609" w14:textId="02524A39"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br/>
              <w:t xml:space="preserve">Residential bills, however, vary widely by region.  Transforming the 2022 data </w:t>
            </w:r>
            <w:r w:rsidR="00852751">
              <w:rPr>
                <w:rFonts w:ascii="Calibri" w:eastAsia="Times New Roman" w:hAnsi="Calibri" w:cs="Calibri"/>
                <w:color w:val="000000"/>
                <w:kern w:val="0"/>
                <w14:ligatures w14:val="none"/>
              </w:rPr>
              <w:t>from</w:t>
            </w:r>
            <w:r w:rsidRPr="00082E66">
              <w:rPr>
                <w:rFonts w:ascii="Calibri" w:eastAsia="Times New Roman" w:hAnsi="Calibri" w:cs="Calibri"/>
                <w:color w:val="000000"/>
                <w:kern w:val="0"/>
                <w14:ligatures w14:val="none"/>
              </w:rPr>
              <w:t xml:space="preserve"> the Energy Commission, estimated annual household usage is as much as 82% higher in the interior regions compared to the milder climate coastal areas, and substantially higher when comparing across counties.</w:t>
            </w:r>
          </w:p>
        </w:tc>
      </w:tr>
      <w:tr w:rsidR="00082E66" w:rsidRPr="00082E66" w14:paraId="20D71A96" w14:textId="77777777" w:rsidTr="00E05C17">
        <w:trPr>
          <w:trHeight w:val="660"/>
        </w:trPr>
        <w:tc>
          <w:tcPr>
            <w:tcW w:w="1114" w:type="pct"/>
            <w:tcBorders>
              <w:top w:val="nil"/>
              <w:left w:val="nil"/>
              <w:bottom w:val="nil"/>
              <w:right w:val="nil"/>
            </w:tcBorders>
            <w:noWrap/>
            <w:vAlign w:val="center"/>
            <w:hideMark/>
          </w:tcPr>
          <w:p w14:paraId="5D9C0DD9" w14:textId="77777777" w:rsidR="00082E66" w:rsidRPr="00082E66" w:rsidRDefault="00082E66" w:rsidP="00082E66">
            <w:pPr>
              <w:jc w:val="center"/>
              <w:rPr>
                <w:rFonts w:ascii="Arial" w:eastAsia="Times New Roman" w:hAnsi="Arial" w:cs="Arial"/>
                <w:b/>
                <w:bCs/>
                <w:color w:val="FF0000"/>
                <w:kern w:val="0"/>
                <w:sz w:val="63"/>
                <w:szCs w:val="63"/>
                <w14:ligatures w14:val="none"/>
              </w:rPr>
            </w:pPr>
            <w:r w:rsidRPr="00082E66">
              <w:rPr>
                <w:rFonts w:ascii="Arial" w:eastAsia="Times New Roman" w:hAnsi="Arial" w:cs="Arial"/>
                <w:b/>
                <w:bCs/>
                <w:color w:val="0F9ED5" w:themeColor="accent4"/>
                <w:kern w:val="0"/>
                <w:sz w:val="63"/>
                <w:szCs w:val="63"/>
                <w14:ligatures w14:val="none"/>
              </w:rPr>
              <w:t>$13.1b</w:t>
            </w:r>
          </w:p>
        </w:tc>
        <w:tc>
          <w:tcPr>
            <w:tcW w:w="3886" w:type="pct"/>
            <w:gridSpan w:val="3"/>
            <w:vMerge w:val="restart"/>
            <w:tcBorders>
              <w:top w:val="nil"/>
              <w:left w:val="nil"/>
              <w:bottom w:val="nil"/>
              <w:right w:val="nil"/>
            </w:tcBorders>
            <w:vAlign w:val="center"/>
            <w:hideMark/>
          </w:tcPr>
          <w:p w14:paraId="46CC25E8"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For the 12 months ended October 2025, California's higher electricity prices translated into Residential ratepayers paying $13.1 billion more than the average ratepayers elsewhere in the US using the same amount of energy.  Compared to the lowest cost state, California households paid $17.0 billion more.</w:t>
            </w:r>
          </w:p>
        </w:tc>
      </w:tr>
      <w:tr w:rsidR="00082E66" w:rsidRPr="00082E66" w14:paraId="6159AE61" w14:textId="77777777" w:rsidTr="00E05C17">
        <w:trPr>
          <w:trHeight w:val="600"/>
        </w:trPr>
        <w:tc>
          <w:tcPr>
            <w:tcW w:w="1114" w:type="pct"/>
            <w:tcBorders>
              <w:top w:val="nil"/>
              <w:left w:val="nil"/>
              <w:bottom w:val="nil"/>
              <w:right w:val="nil"/>
            </w:tcBorders>
            <w:vAlign w:val="bottom"/>
            <w:hideMark/>
          </w:tcPr>
          <w:p w14:paraId="7723B625" w14:textId="77777777" w:rsidR="00082E66" w:rsidRPr="00082E66" w:rsidRDefault="00082E66" w:rsidP="00082E66">
            <w:pPr>
              <w:jc w:val="cente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Above Average for Rest of US</w:t>
            </w:r>
          </w:p>
        </w:tc>
        <w:tc>
          <w:tcPr>
            <w:tcW w:w="3886" w:type="pct"/>
            <w:gridSpan w:val="3"/>
            <w:vMerge/>
            <w:tcBorders>
              <w:top w:val="nil"/>
              <w:left w:val="nil"/>
              <w:bottom w:val="nil"/>
              <w:right w:val="nil"/>
            </w:tcBorders>
            <w:vAlign w:val="center"/>
            <w:hideMark/>
          </w:tcPr>
          <w:p w14:paraId="300F987D" w14:textId="77777777" w:rsidR="00082E66" w:rsidRPr="00082E66" w:rsidRDefault="00082E66" w:rsidP="00082E66">
            <w:pPr>
              <w:rPr>
                <w:rFonts w:ascii="Calibri" w:eastAsia="Times New Roman" w:hAnsi="Calibri" w:cs="Calibri"/>
                <w:color w:val="000000"/>
                <w:kern w:val="0"/>
                <w14:ligatures w14:val="none"/>
              </w:rPr>
            </w:pPr>
          </w:p>
        </w:tc>
      </w:tr>
      <w:tr w:rsidR="00082E66" w:rsidRPr="00082E66" w14:paraId="2D264BCD" w14:textId="77777777" w:rsidTr="00E05C17">
        <w:trPr>
          <w:trHeight w:val="690"/>
        </w:trPr>
        <w:tc>
          <w:tcPr>
            <w:tcW w:w="1114" w:type="pct"/>
            <w:tcBorders>
              <w:top w:val="nil"/>
              <w:left w:val="nil"/>
              <w:bottom w:val="nil"/>
              <w:right w:val="nil"/>
            </w:tcBorders>
            <w:vAlign w:val="bottom"/>
            <w:hideMark/>
          </w:tcPr>
          <w:p w14:paraId="48839734" w14:textId="77777777" w:rsidR="00082E66" w:rsidRPr="00082E66" w:rsidRDefault="00082E66" w:rsidP="00082E66">
            <w:pPr>
              <w:jc w:val="center"/>
              <w:rPr>
                <w:rFonts w:ascii="Calibri" w:eastAsia="Times New Roman" w:hAnsi="Calibri" w:cs="Calibri"/>
                <w:color w:val="000000"/>
                <w:kern w:val="0"/>
                <w14:ligatures w14:val="none"/>
              </w:rPr>
            </w:pPr>
          </w:p>
        </w:tc>
        <w:tc>
          <w:tcPr>
            <w:tcW w:w="2462" w:type="pct"/>
            <w:tcBorders>
              <w:top w:val="nil"/>
              <w:left w:val="nil"/>
              <w:bottom w:val="nil"/>
              <w:right w:val="nil"/>
            </w:tcBorders>
            <w:vAlign w:val="bottom"/>
            <w:hideMark/>
          </w:tcPr>
          <w:p w14:paraId="7B4C892B"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center"/>
            <w:hideMark/>
          </w:tcPr>
          <w:p w14:paraId="42372A50"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595F03EC"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1F6A7757" w14:textId="77777777" w:rsidTr="00E06415">
        <w:trPr>
          <w:trHeight w:val="465"/>
        </w:trPr>
        <w:tc>
          <w:tcPr>
            <w:tcW w:w="5000" w:type="pct"/>
            <w:gridSpan w:val="4"/>
            <w:tcBorders>
              <w:top w:val="nil"/>
              <w:left w:val="nil"/>
              <w:bottom w:val="nil"/>
              <w:right w:val="nil"/>
            </w:tcBorders>
            <w:vAlign w:val="center"/>
            <w:hideMark/>
          </w:tcPr>
          <w:p w14:paraId="3136D3DC" w14:textId="77777777" w:rsidR="00082E66" w:rsidRPr="00082E66" w:rsidRDefault="00082E66" w:rsidP="00082E66">
            <w:pPr>
              <w:rPr>
                <w:rFonts w:ascii="Georgia" w:eastAsia="Times New Roman" w:hAnsi="Georgia" w:cs="Calibri"/>
                <w:b/>
                <w:bCs/>
                <w:color w:val="000000"/>
                <w:kern w:val="0"/>
                <w:sz w:val="36"/>
                <w:szCs w:val="36"/>
                <w14:ligatures w14:val="none"/>
              </w:rPr>
            </w:pPr>
            <w:r w:rsidRPr="00082E66">
              <w:rPr>
                <w:rFonts w:ascii="Georgia" w:eastAsia="Times New Roman" w:hAnsi="Georgia" w:cs="Calibri"/>
                <w:b/>
                <w:bCs/>
                <w:color w:val="000000"/>
                <w:kern w:val="0"/>
                <w:sz w:val="36"/>
                <w:szCs w:val="36"/>
                <w14:ligatures w14:val="none"/>
              </w:rPr>
              <w:t>California Commercial Electricity Price</w:t>
            </w:r>
          </w:p>
        </w:tc>
      </w:tr>
      <w:tr w:rsidR="00082E66" w:rsidRPr="00082E66" w14:paraId="5B8FFE4F" w14:textId="77777777" w:rsidTr="00E05C17">
        <w:trPr>
          <w:trHeight w:val="300"/>
        </w:trPr>
        <w:tc>
          <w:tcPr>
            <w:tcW w:w="1114" w:type="pct"/>
            <w:tcBorders>
              <w:top w:val="nil"/>
              <w:left w:val="nil"/>
              <w:bottom w:val="nil"/>
              <w:right w:val="nil"/>
            </w:tcBorders>
            <w:vAlign w:val="bottom"/>
            <w:hideMark/>
          </w:tcPr>
          <w:p w14:paraId="527104F8" w14:textId="77777777" w:rsidR="00082E66" w:rsidRPr="00082E66" w:rsidRDefault="00082E66" w:rsidP="00082E66">
            <w:pPr>
              <w:rPr>
                <w:rFonts w:ascii="Georgia" w:eastAsia="Times New Roman" w:hAnsi="Georgia" w:cs="Calibri"/>
                <w:b/>
                <w:bCs/>
                <w:color w:val="000000"/>
                <w:kern w:val="0"/>
                <w:sz w:val="36"/>
                <w:szCs w:val="36"/>
                <w14:ligatures w14:val="none"/>
              </w:rPr>
            </w:pPr>
          </w:p>
        </w:tc>
        <w:tc>
          <w:tcPr>
            <w:tcW w:w="2462" w:type="pct"/>
            <w:tcBorders>
              <w:top w:val="nil"/>
              <w:left w:val="nil"/>
              <w:bottom w:val="nil"/>
              <w:right w:val="nil"/>
            </w:tcBorders>
            <w:vAlign w:val="bottom"/>
            <w:hideMark/>
          </w:tcPr>
          <w:p w14:paraId="54D8790E"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0FA8FB8F"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60C75EE2"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4FCB30E7" w14:textId="77777777" w:rsidTr="00E05C17">
        <w:trPr>
          <w:trHeight w:val="810"/>
        </w:trPr>
        <w:tc>
          <w:tcPr>
            <w:tcW w:w="1114" w:type="pct"/>
            <w:tcBorders>
              <w:top w:val="nil"/>
              <w:left w:val="nil"/>
              <w:bottom w:val="nil"/>
              <w:right w:val="nil"/>
            </w:tcBorders>
            <w:vAlign w:val="center"/>
            <w:hideMark/>
          </w:tcPr>
          <w:p w14:paraId="3E1C005B" w14:textId="77777777" w:rsidR="00082E66" w:rsidRPr="00082E66" w:rsidRDefault="00082E66" w:rsidP="00082E66">
            <w:pPr>
              <w:jc w:val="center"/>
              <w:rPr>
                <w:rFonts w:ascii="Calibri" w:eastAsia="Times New Roman" w:hAnsi="Calibri" w:cs="Calibri"/>
                <w:b/>
                <w:bCs/>
                <w:color w:val="0F9ED5" w:themeColor="accent4"/>
                <w:kern w:val="0"/>
                <w:sz w:val="63"/>
                <w:szCs w:val="63"/>
                <w14:ligatures w14:val="none"/>
              </w:rPr>
            </w:pPr>
            <w:r w:rsidRPr="00082E66">
              <w:rPr>
                <w:rFonts w:ascii="Calibri" w:eastAsia="Times New Roman" w:hAnsi="Calibri" w:cs="Calibri"/>
                <w:b/>
                <w:bCs/>
                <w:color w:val="0F9ED5" w:themeColor="accent4"/>
                <w:kern w:val="0"/>
                <w:sz w:val="63"/>
                <w:szCs w:val="63"/>
                <w14:ligatures w14:val="none"/>
              </w:rPr>
              <w:t>109.8%</w:t>
            </w:r>
          </w:p>
        </w:tc>
        <w:tc>
          <w:tcPr>
            <w:tcW w:w="3886" w:type="pct"/>
            <w:gridSpan w:val="3"/>
            <w:vMerge w:val="restart"/>
            <w:tcBorders>
              <w:top w:val="nil"/>
              <w:left w:val="nil"/>
              <w:bottom w:val="nil"/>
              <w:right w:val="nil"/>
            </w:tcBorders>
            <w:vAlign w:val="center"/>
            <w:hideMark/>
          </w:tcPr>
          <w:p w14:paraId="53466CDD" w14:textId="29F615C5"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California average Commercial Price for the 12 months ended October 2025 was 25.81 cents/kWh, 109.8% higher than the US average of 12.30 cents/kWh for all states other than California.  California's commercial prices were the  highest among the contiguous states and DC.</w:t>
            </w:r>
          </w:p>
        </w:tc>
      </w:tr>
      <w:tr w:rsidR="00082E66" w:rsidRPr="00082E66" w14:paraId="0E6CC782" w14:textId="77777777" w:rsidTr="00E05C17">
        <w:trPr>
          <w:trHeight w:val="600"/>
        </w:trPr>
        <w:tc>
          <w:tcPr>
            <w:tcW w:w="1114" w:type="pct"/>
            <w:tcBorders>
              <w:top w:val="nil"/>
              <w:left w:val="nil"/>
              <w:bottom w:val="nil"/>
              <w:right w:val="nil"/>
            </w:tcBorders>
            <w:vAlign w:val="bottom"/>
            <w:hideMark/>
          </w:tcPr>
          <w:p w14:paraId="411FE6DC" w14:textId="77777777" w:rsidR="00082E66" w:rsidRPr="00082E66" w:rsidRDefault="00082E66" w:rsidP="00082E66">
            <w:pPr>
              <w:jc w:val="cente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Above Average for Rest of US</w:t>
            </w:r>
          </w:p>
        </w:tc>
        <w:tc>
          <w:tcPr>
            <w:tcW w:w="3886" w:type="pct"/>
            <w:gridSpan w:val="3"/>
            <w:vMerge/>
            <w:tcBorders>
              <w:top w:val="nil"/>
              <w:left w:val="nil"/>
              <w:bottom w:val="nil"/>
              <w:right w:val="nil"/>
            </w:tcBorders>
            <w:vAlign w:val="center"/>
            <w:hideMark/>
          </w:tcPr>
          <w:p w14:paraId="7FE850B2" w14:textId="77777777" w:rsidR="00082E66" w:rsidRPr="00082E66" w:rsidRDefault="00082E66" w:rsidP="00082E66">
            <w:pPr>
              <w:rPr>
                <w:rFonts w:ascii="Calibri" w:eastAsia="Times New Roman" w:hAnsi="Calibri" w:cs="Calibri"/>
                <w:color w:val="000000"/>
                <w:kern w:val="0"/>
                <w14:ligatures w14:val="none"/>
              </w:rPr>
            </w:pPr>
          </w:p>
        </w:tc>
      </w:tr>
      <w:tr w:rsidR="00082E66" w:rsidRPr="00082E66" w14:paraId="7EF7CA9C" w14:textId="77777777" w:rsidTr="00E05C17">
        <w:trPr>
          <w:trHeight w:val="300"/>
        </w:trPr>
        <w:tc>
          <w:tcPr>
            <w:tcW w:w="1114" w:type="pct"/>
            <w:tcBorders>
              <w:top w:val="nil"/>
              <w:left w:val="nil"/>
              <w:bottom w:val="nil"/>
              <w:right w:val="nil"/>
            </w:tcBorders>
            <w:vAlign w:val="bottom"/>
            <w:hideMark/>
          </w:tcPr>
          <w:p w14:paraId="7E2E9007" w14:textId="77777777" w:rsidR="00082E66" w:rsidRPr="00082E66" w:rsidRDefault="00082E66" w:rsidP="00082E66">
            <w:pPr>
              <w:jc w:val="center"/>
              <w:rPr>
                <w:rFonts w:ascii="Calibri" w:eastAsia="Times New Roman" w:hAnsi="Calibri" w:cs="Calibri"/>
                <w:color w:val="000000"/>
                <w:kern w:val="0"/>
                <w14:ligatures w14:val="none"/>
              </w:rPr>
            </w:pPr>
          </w:p>
        </w:tc>
        <w:tc>
          <w:tcPr>
            <w:tcW w:w="2462" w:type="pct"/>
            <w:tcBorders>
              <w:top w:val="nil"/>
              <w:left w:val="nil"/>
              <w:bottom w:val="nil"/>
              <w:right w:val="nil"/>
            </w:tcBorders>
            <w:vAlign w:val="bottom"/>
            <w:hideMark/>
          </w:tcPr>
          <w:p w14:paraId="5B585986"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center"/>
            <w:hideMark/>
          </w:tcPr>
          <w:p w14:paraId="676F429E"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325B988B"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31EAD8DA" w14:textId="77777777" w:rsidTr="00E06415">
        <w:trPr>
          <w:trHeight w:val="465"/>
        </w:trPr>
        <w:tc>
          <w:tcPr>
            <w:tcW w:w="5000" w:type="pct"/>
            <w:gridSpan w:val="4"/>
            <w:tcBorders>
              <w:top w:val="nil"/>
              <w:left w:val="nil"/>
              <w:bottom w:val="nil"/>
              <w:right w:val="nil"/>
            </w:tcBorders>
            <w:vAlign w:val="bottom"/>
            <w:hideMark/>
          </w:tcPr>
          <w:p w14:paraId="0324B2C5" w14:textId="77777777" w:rsidR="00082E66" w:rsidRPr="00082E66" w:rsidRDefault="00082E66" w:rsidP="00082E66">
            <w:pPr>
              <w:rPr>
                <w:rFonts w:ascii="Georgia" w:eastAsia="Times New Roman" w:hAnsi="Georgia" w:cs="Calibri"/>
                <w:b/>
                <w:bCs/>
                <w:color w:val="000000"/>
                <w:kern w:val="0"/>
                <w:sz w:val="36"/>
                <w:szCs w:val="36"/>
                <w14:ligatures w14:val="none"/>
              </w:rPr>
            </w:pPr>
            <w:r w:rsidRPr="00082E66">
              <w:rPr>
                <w:rFonts w:ascii="Georgia" w:eastAsia="Times New Roman" w:hAnsi="Georgia" w:cs="Calibri"/>
                <w:b/>
                <w:bCs/>
                <w:color w:val="000000"/>
                <w:kern w:val="0"/>
                <w:sz w:val="36"/>
                <w:szCs w:val="36"/>
                <w14:ligatures w14:val="none"/>
              </w:rPr>
              <w:t>California Industrial Electricity Price</w:t>
            </w:r>
          </w:p>
        </w:tc>
      </w:tr>
      <w:tr w:rsidR="00082E66" w:rsidRPr="00082E66" w14:paraId="2D39BD09" w14:textId="77777777" w:rsidTr="00E05C17">
        <w:trPr>
          <w:trHeight w:val="300"/>
        </w:trPr>
        <w:tc>
          <w:tcPr>
            <w:tcW w:w="1114" w:type="pct"/>
            <w:tcBorders>
              <w:top w:val="nil"/>
              <w:left w:val="nil"/>
              <w:bottom w:val="nil"/>
              <w:right w:val="nil"/>
            </w:tcBorders>
            <w:vAlign w:val="bottom"/>
            <w:hideMark/>
          </w:tcPr>
          <w:p w14:paraId="198E0043" w14:textId="77777777" w:rsidR="00082E66" w:rsidRPr="00082E66" w:rsidRDefault="00082E66" w:rsidP="00082E66">
            <w:pPr>
              <w:rPr>
                <w:rFonts w:ascii="Georgia" w:eastAsia="Times New Roman" w:hAnsi="Georgia" w:cs="Calibri"/>
                <w:b/>
                <w:bCs/>
                <w:color w:val="000000"/>
                <w:kern w:val="0"/>
                <w:sz w:val="36"/>
                <w:szCs w:val="36"/>
                <w14:ligatures w14:val="none"/>
              </w:rPr>
            </w:pPr>
          </w:p>
        </w:tc>
        <w:tc>
          <w:tcPr>
            <w:tcW w:w="2462" w:type="pct"/>
            <w:tcBorders>
              <w:top w:val="nil"/>
              <w:left w:val="nil"/>
              <w:bottom w:val="nil"/>
              <w:right w:val="nil"/>
            </w:tcBorders>
            <w:vAlign w:val="bottom"/>
            <w:hideMark/>
          </w:tcPr>
          <w:p w14:paraId="77ACC561"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3A1D1F89"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0A4FAA02"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7551089F" w14:textId="77777777" w:rsidTr="00E05C17">
        <w:trPr>
          <w:trHeight w:val="810"/>
        </w:trPr>
        <w:tc>
          <w:tcPr>
            <w:tcW w:w="1114" w:type="pct"/>
            <w:tcBorders>
              <w:top w:val="nil"/>
              <w:left w:val="nil"/>
              <w:bottom w:val="nil"/>
              <w:right w:val="nil"/>
            </w:tcBorders>
            <w:vAlign w:val="center"/>
            <w:hideMark/>
          </w:tcPr>
          <w:p w14:paraId="1B15BF7D" w14:textId="77777777" w:rsidR="00082E66" w:rsidRPr="00082E66" w:rsidRDefault="00082E66" w:rsidP="00082E66">
            <w:pPr>
              <w:jc w:val="center"/>
              <w:rPr>
                <w:rFonts w:ascii="Calibri" w:eastAsia="Times New Roman" w:hAnsi="Calibri" w:cs="Calibri"/>
                <w:b/>
                <w:bCs/>
                <w:color w:val="FF0000"/>
                <w:kern w:val="0"/>
                <w:sz w:val="63"/>
                <w:szCs w:val="63"/>
                <w14:ligatures w14:val="none"/>
              </w:rPr>
            </w:pPr>
            <w:r w:rsidRPr="00082E66">
              <w:rPr>
                <w:rFonts w:ascii="Calibri" w:eastAsia="Times New Roman" w:hAnsi="Calibri" w:cs="Calibri"/>
                <w:b/>
                <w:bCs/>
                <w:color w:val="0F9ED5" w:themeColor="accent4"/>
                <w:kern w:val="0"/>
                <w:sz w:val="63"/>
                <w:szCs w:val="63"/>
                <w14:ligatures w14:val="none"/>
              </w:rPr>
              <w:t>171.9%</w:t>
            </w:r>
          </w:p>
        </w:tc>
        <w:tc>
          <w:tcPr>
            <w:tcW w:w="3886" w:type="pct"/>
            <w:gridSpan w:val="3"/>
            <w:vMerge w:val="restart"/>
            <w:tcBorders>
              <w:top w:val="nil"/>
              <w:left w:val="nil"/>
              <w:bottom w:val="nil"/>
              <w:right w:val="nil"/>
            </w:tcBorders>
            <w:vAlign w:val="center"/>
            <w:hideMark/>
          </w:tcPr>
          <w:p w14:paraId="2C5FE13F" w14:textId="0BAC1CFB"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California average Industrial Price for the 12 months ended October 2025 was 21.64 cents/kWh, 171.9% higher than the US average of 7.96 cents/kWh for all states other than California.  California's industrial prices were the highest among the contiguous states and DC.</w:t>
            </w:r>
          </w:p>
        </w:tc>
      </w:tr>
      <w:tr w:rsidR="00082E66" w:rsidRPr="00082E66" w14:paraId="2CB33469" w14:textId="77777777" w:rsidTr="00E05C17">
        <w:trPr>
          <w:trHeight w:val="600"/>
        </w:trPr>
        <w:tc>
          <w:tcPr>
            <w:tcW w:w="1114" w:type="pct"/>
            <w:tcBorders>
              <w:top w:val="nil"/>
              <w:left w:val="nil"/>
              <w:bottom w:val="nil"/>
              <w:right w:val="nil"/>
            </w:tcBorders>
            <w:vAlign w:val="bottom"/>
            <w:hideMark/>
          </w:tcPr>
          <w:p w14:paraId="40C4BAB1" w14:textId="77777777" w:rsidR="00082E66" w:rsidRPr="00082E66" w:rsidRDefault="00082E66" w:rsidP="00082E66">
            <w:pPr>
              <w:jc w:val="cente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lastRenderedPageBreak/>
              <w:t>Above Average for Rest of US</w:t>
            </w:r>
          </w:p>
        </w:tc>
        <w:tc>
          <w:tcPr>
            <w:tcW w:w="3886" w:type="pct"/>
            <w:gridSpan w:val="3"/>
            <w:vMerge/>
            <w:tcBorders>
              <w:top w:val="nil"/>
              <w:left w:val="nil"/>
              <w:bottom w:val="nil"/>
              <w:right w:val="nil"/>
            </w:tcBorders>
            <w:vAlign w:val="center"/>
            <w:hideMark/>
          </w:tcPr>
          <w:p w14:paraId="563AE6C0" w14:textId="77777777" w:rsidR="00082E66" w:rsidRPr="00082E66" w:rsidRDefault="00082E66" w:rsidP="00082E66">
            <w:pPr>
              <w:rPr>
                <w:rFonts w:ascii="Calibri" w:eastAsia="Times New Roman" w:hAnsi="Calibri" w:cs="Calibri"/>
                <w:color w:val="000000"/>
                <w:kern w:val="0"/>
                <w14:ligatures w14:val="none"/>
              </w:rPr>
            </w:pPr>
          </w:p>
        </w:tc>
      </w:tr>
      <w:tr w:rsidR="00082E66" w:rsidRPr="00082E66" w14:paraId="64B3D648" w14:textId="77777777" w:rsidTr="00E05C17">
        <w:trPr>
          <w:trHeight w:val="300"/>
        </w:trPr>
        <w:tc>
          <w:tcPr>
            <w:tcW w:w="1114" w:type="pct"/>
            <w:tcBorders>
              <w:top w:val="nil"/>
              <w:left w:val="nil"/>
              <w:bottom w:val="nil"/>
              <w:right w:val="nil"/>
            </w:tcBorders>
            <w:vAlign w:val="bottom"/>
            <w:hideMark/>
          </w:tcPr>
          <w:p w14:paraId="71EE5FC2" w14:textId="77777777" w:rsidR="00082E66" w:rsidRPr="00082E66" w:rsidRDefault="00082E66" w:rsidP="00082E66">
            <w:pPr>
              <w:jc w:val="center"/>
              <w:rPr>
                <w:rFonts w:ascii="Calibri" w:eastAsia="Times New Roman" w:hAnsi="Calibri" w:cs="Calibri"/>
                <w:color w:val="000000"/>
                <w:kern w:val="0"/>
                <w14:ligatures w14:val="none"/>
              </w:rPr>
            </w:pPr>
          </w:p>
        </w:tc>
        <w:tc>
          <w:tcPr>
            <w:tcW w:w="2462" w:type="pct"/>
            <w:tcBorders>
              <w:top w:val="nil"/>
              <w:left w:val="nil"/>
              <w:bottom w:val="nil"/>
              <w:right w:val="nil"/>
            </w:tcBorders>
            <w:vAlign w:val="bottom"/>
            <w:hideMark/>
          </w:tcPr>
          <w:p w14:paraId="60DC777B"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04E09A01"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3780D68E"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04B687FF" w14:textId="77777777" w:rsidTr="00E05C17">
        <w:trPr>
          <w:trHeight w:val="795"/>
        </w:trPr>
        <w:tc>
          <w:tcPr>
            <w:tcW w:w="1114" w:type="pct"/>
            <w:tcBorders>
              <w:top w:val="nil"/>
              <w:left w:val="nil"/>
              <w:bottom w:val="nil"/>
              <w:right w:val="nil"/>
            </w:tcBorders>
            <w:noWrap/>
            <w:vAlign w:val="center"/>
            <w:hideMark/>
          </w:tcPr>
          <w:p w14:paraId="62307A0C" w14:textId="77777777" w:rsidR="00082E66" w:rsidRPr="00082E66" w:rsidRDefault="00082E66" w:rsidP="00082E66">
            <w:pPr>
              <w:jc w:val="center"/>
              <w:rPr>
                <w:rFonts w:ascii="Arial" w:eastAsia="Times New Roman" w:hAnsi="Arial" w:cs="Arial"/>
                <w:b/>
                <w:bCs/>
                <w:color w:val="FF0000"/>
                <w:kern w:val="0"/>
                <w:sz w:val="63"/>
                <w:szCs w:val="63"/>
                <w14:ligatures w14:val="none"/>
              </w:rPr>
            </w:pPr>
            <w:r w:rsidRPr="00082E66">
              <w:rPr>
                <w:rFonts w:ascii="Arial" w:eastAsia="Times New Roman" w:hAnsi="Arial" w:cs="Arial"/>
                <w:b/>
                <w:bCs/>
                <w:color w:val="0F9ED5" w:themeColor="accent4"/>
                <w:kern w:val="0"/>
                <w:sz w:val="63"/>
                <w:szCs w:val="63"/>
                <w14:ligatures w14:val="none"/>
              </w:rPr>
              <w:t>$21.2b</w:t>
            </w:r>
          </w:p>
        </w:tc>
        <w:tc>
          <w:tcPr>
            <w:tcW w:w="3886" w:type="pct"/>
            <w:gridSpan w:val="3"/>
            <w:vMerge w:val="restart"/>
            <w:tcBorders>
              <w:top w:val="nil"/>
              <w:left w:val="nil"/>
              <w:bottom w:val="nil"/>
              <w:right w:val="nil"/>
            </w:tcBorders>
            <w:vAlign w:val="center"/>
            <w:hideMark/>
          </w:tcPr>
          <w:p w14:paraId="78C6FBCB"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For the 12 months ended October 2025, California's higher electricity prices translated into Commercial &amp; Industrial ratepayers paying $21.2 billion more than ratepayers elsewhere in the US using the same amount of energy.  Compared to the lowest rate states, Commercial &amp; Industrial ratepayers paid $27.6 billion more.</w:t>
            </w:r>
          </w:p>
        </w:tc>
      </w:tr>
      <w:tr w:rsidR="00082E66" w:rsidRPr="00082E66" w14:paraId="4B36AAD4" w14:textId="77777777" w:rsidTr="00E05C17">
        <w:trPr>
          <w:trHeight w:val="600"/>
        </w:trPr>
        <w:tc>
          <w:tcPr>
            <w:tcW w:w="1114" w:type="pct"/>
            <w:tcBorders>
              <w:top w:val="nil"/>
              <w:left w:val="nil"/>
              <w:bottom w:val="nil"/>
              <w:right w:val="nil"/>
            </w:tcBorders>
            <w:vAlign w:val="bottom"/>
            <w:hideMark/>
          </w:tcPr>
          <w:p w14:paraId="698BEED1" w14:textId="77777777" w:rsidR="00082E66" w:rsidRPr="00082E66" w:rsidRDefault="00082E66" w:rsidP="00082E66">
            <w:pPr>
              <w:jc w:val="cente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Above Average for Rest of US</w:t>
            </w:r>
          </w:p>
        </w:tc>
        <w:tc>
          <w:tcPr>
            <w:tcW w:w="3886" w:type="pct"/>
            <w:gridSpan w:val="3"/>
            <w:vMerge/>
            <w:tcBorders>
              <w:top w:val="nil"/>
              <w:left w:val="nil"/>
              <w:bottom w:val="nil"/>
              <w:right w:val="nil"/>
            </w:tcBorders>
            <w:vAlign w:val="center"/>
            <w:hideMark/>
          </w:tcPr>
          <w:p w14:paraId="3855B612" w14:textId="77777777" w:rsidR="00082E66" w:rsidRPr="00082E66" w:rsidRDefault="00082E66" w:rsidP="00082E66">
            <w:pPr>
              <w:rPr>
                <w:rFonts w:ascii="Calibri" w:eastAsia="Times New Roman" w:hAnsi="Calibri" w:cs="Calibri"/>
                <w:color w:val="000000"/>
                <w:kern w:val="0"/>
                <w14:ligatures w14:val="none"/>
              </w:rPr>
            </w:pPr>
          </w:p>
        </w:tc>
      </w:tr>
      <w:tr w:rsidR="00082E66" w:rsidRPr="00082E66" w14:paraId="456A7E3E" w14:textId="77777777" w:rsidTr="00E05C17">
        <w:trPr>
          <w:trHeight w:val="300"/>
        </w:trPr>
        <w:tc>
          <w:tcPr>
            <w:tcW w:w="1114" w:type="pct"/>
            <w:tcBorders>
              <w:top w:val="nil"/>
              <w:left w:val="nil"/>
              <w:bottom w:val="nil"/>
              <w:right w:val="nil"/>
            </w:tcBorders>
            <w:vAlign w:val="bottom"/>
            <w:hideMark/>
          </w:tcPr>
          <w:p w14:paraId="0B445C23" w14:textId="77777777" w:rsidR="00082E66" w:rsidRPr="00082E66" w:rsidRDefault="00082E66" w:rsidP="00082E66">
            <w:pPr>
              <w:jc w:val="center"/>
              <w:rPr>
                <w:rFonts w:ascii="Calibri" w:eastAsia="Times New Roman" w:hAnsi="Calibri" w:cs="Calibri"/>
                <w:color w:val="000000"/>
                <w:kern w:val="0"/>
                <w14:ligatures w14:val="none"/>
              </w:rPr>
            </w:pPr>
          </w:p>
        </w:tc>
        <w:tc>
          <w:tcPr>
            <w:tcW w:w="2462" w:type="pct"/>
            <w:tcBorders>
              <w:top w:val="nil"/>
              <w:left w:val="nil"/>
              <w:bottom w:val="nil"/>
              <w:right w:val="nil"/>
            </w:tcBorders>
            <w:vAlign w:val="bottom"/>
            <w:hideMark/>
          </w:tcPr>
          <w:p w14:paraId="588F6B60"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111738B7"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vAlign w:val="bottom"/>
            <w:hideMark/>
          </w:tcPr>
          <w:p w14:paraId="42E77B1A"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5FDE23E6" w14:textId="77777777" w:rsidTr="00E06415">
        <w:trPr>
          <w:trHeight w:val="465"/>
        </w:trPr>
        <w:tc>
          <w:tcPr>
            <w:tcW w:w="5000" w:type="pct"/>
            <w:gridSpan w:val="4"/>
            <w:tcBorders>
              <w:top w:val="nil"/>
              <w:left w:val="nil"/>
              <w:bottom w:val="nil"/>
              <w:right w:val="nil"/>
            </w:tcBorders>
            <w:vAlign w:val="center"/>
            <w:hideMark/>
          </w:tcPr>
          <w:p w14:paraId="2179FCA6" w14:textId="77777777" w:rsidR="00082E66" w:rsidRPr="00082E66" w:rsidRDefault="00082E66" w:rsidP="00082E66">
            <w:pPr>
              <w:rPr>
                <w:rFonts w:ascii="Georgia" w:eastAsia="Times New Roman" w:hAnsi="Georgia" w:cs="Calibri"/>
                <w:b/>
                <w:bCs/>
                <w:color w:val="000000"/>
                <w:kern w:val="0"/>
                <w:sz w:val="36"/>
                <w:szCs w:val="36"/>
                <w14:ligatures w14:val="none"/>
              </w:rPr>
            </w:pPr>
            <w:r w:rsidRPr="00082E66">
              <w:rPr>
                <w:rFonts w:ascii="Georgia" w:eastAsia="Times New Roman" w:hAnsi="Georgia" w:cs="Calibri"/>
                <w:b/>
                <w:bCs/>
                <w:color w:val="000000"/>
                <w:kern w:val="0"/>
                <w:sz w:val="36"/>
                <w:szCs w:val="36"/>
                <w14:ligatures w14:val="none"/>
              </w:rPr>
              <w:t>California Natural Gas Prices</w:t>
            </w:r>
          </w:p>
        </w:tc>
      </w:tr>
      <w:tr w:rsidR="00082E66" w:rsidRPr="00082E66" w14:paraId="2D3EA104" w14:textId="77777777" w:rsidTr="00E05C17">
        <w:trPr>
          <w:trHeight w:val="300"/>
        </w:trPr>
        <w:tc>
          <w:tcPr>
            <w:tcW w:w="1114" w:type="pct"/>
            <w:tcBorders>
              <w:top w:val="nil"/>
              <w:left w:val="nil"/>
              <w:bottom w:val="nil"/>
              <w:right w:val="nil"/>
            </w:tcBorders>
            <w:vAlign w:val="bottom"/>
            <w:hideMark/>
          </w:tcPr>
          <w:p w14:paraId="68142637" w14:textId="77777777" w:rsidR="00082E66" w:rsidRPr="00082E66" w:rsidRDefault="00082E66" w:rsidP="00082E66">
            <w:pPr>
              <w:rPr>
                <w:rFonts w:ascii="Georgia" w:eastAsia="Times New Roman" w:hAnsi="Georgia" w:cs="Calibri"/>
                <w:b/>
                <w:bCs/>
                <w:color w:val="000000"/>
                <w:kern w:val="0"/>
                <w:sz w:val="36"/>
                <w:szCs w:val="36"/>
                <w14:ligatures w14:val="none"/>
              </w:rPr>
            </w:pPr>
          </w:p>
        </w:tc>
        <w:tc>
          <w:tcPr>
            <w:tcW w:w="2462" w:type="pct"/>
            <w:tcBorders>
              <w:top w:val="nil"/>
              <w:left w:val="nil"/>
              <w:bottom w:val="nil"/>
              <w:right w:val="nil"/>
            </w:tcBorders>
            <w:vAlign w:val="bottom"/>
            <w:hideMark/>
          </w:tcPr>
          <w:p w14:paraId="680AE8E4"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noWrap/>
            <w:vAlign w:val="bottom"/>
            <w:hideMark/>
          </w:tcPr>
          <w:p w14:paraId="059555AA"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4D03FE46"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4F55A795" w14:textId="77777777" w:rsidTr="00E06415">
        <w:trPr>
          <w:trHeight w:val="810"/>
        </w:trPr>
        <w:tc>
          <w:tcPr>
            <w:tcW w:w="5000" w:type="pct"/>
            <w:gridSpan w:val="4"/>
            <w:tcBorders>
              <w:top w:val="nil"/>
              <w:left w:val="nil"/>
              <w:bottom w:val="nil"/>
              <w:right w:val="nil"/>
            </w:tcBorders>
            <w:vAlign w:val="center"/>
            <w:hideMark/>
          </w:tcPr>
          <w:p w14:paraId="56B3EB45"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Average prices ($ per thousand cubic feet; 12-month moving average) for the 12 months ended October 2025 and changes from the previous 12-month period for each end user:</w:t>
            </w:r>
          </w:p>
        </w:tc>
      </w:tr>
      <w:tr w:rsidR="00082E66" w:rsidRPr="00082E66" w14:paraId="3B2B2539" w14:textId="77777777" w:rsidTr="00E05C17">
        <w:trPr>
          <w:trHeight w:val="300"/>
        </w:trPr>
        <w:tc>
          <w:tcPr>
            <w:tcW w:w="1114" w:type="pct"/>
            <w:tcBorders>
              <w:top w:val="nil"/>
              <w:left w:val="nil"/>
              <w:bottom w:val="nil"/>
              <w:right w:val="nil"/>
            </w:tcBorders>
            <w:vAlign w:val="bottom"/>
            <w:hideMark/>
          </w:tcPr>
          <w:p w14:paraId="240AE017" w14:textId="77777777" w:rsidR="00082E66" w:rsidRPr="00082E66" w:rsidRDefault="00082E66" w:rsidP="00082E66">
            <w:pPr>
              <w:rPr>
                <w:rFonts w:ascii="Calibri" w:eastAsia="Times New Roman" w:hAnsi="Calibri" w:cs="Calibri"/>
                <w:color w:val="000000"/>
                <w:kern w:val="0"/>
                <w14:ligatures w14:val="none"/>
              </w:rPr>
            </w:pPr>
          </w:p>
        </w:tc>
        <w:tc>
          <w:tcPr>
            <w:tcW w:w="2462" w:type="pct"/>
            <w:tcBorders>
              <w:top w:val="nil"/>
              <w:left w:val="nil"/>
              <w:bottom w:val="nil"/>
              <w:right w:val="nil"/>
            </w:tcBorders>
            <w:vAlign w:val="bottom"/>
            <w:hideMark/>
          </w:tcPr>
          <w:p w14:paraId="5043877B"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noWrap/>
            <w:vAlign w:val="bottom"/>
            <w:hideMark/>
          </w:tcPr>
          <w:p w14:paraId="49B14B35"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319EFBB5" w14:textId="77777777" w:rsidR="00082E66" w:rsidRPr="00082E66" w:rsidRDefault="00082E66" w:rsidP="00082E66">
            <w:pPr>
              <w:rPr>
                <w:rFonts w:ascii="Times New Roman" w:eastAsia="Times New Roman" w:hAnsi="Times New Roman" w:cs="Times New Roman"/>
                <w:kern w:val="0"/>
                <w:sz w:val="20"/>
                <w:szCs w:val="20"/>
                <w14:ligatures w14:val="none"/>
              </w:rPr>
            </w:pPr>
          </w:p>
        </w:tc>
      </w:tr>
      <w:tr w:rsidR="00082E66" w:rsidRPr="00082E66" w14:paraId="4D2FA30B" w14:textId="77777777" w:rsidTr="00E05C17">
        <w:trPr>
          <w:trHeight w:val="300"/>
        </w:trPr>
        <w:tc>
          <w:tcPr>
            <w:tcW w:w="1114" w:type="pct"/>
            <w:tcBorders>
              <w:top w:val="nil"/>
              <w:left w:val="nil"/>
              <w:bottom w:val="nil"/>
              <w:right w:val="nil"/>
            </w:tcBorders>
            <w:vAlign w:val="bottom"/>
            <w:hideMark/>
          </w:tcPr>
          <w:p w14:paraId="013FC6B7"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2462" w:type="pct"/>
            <w:tcBorders>
              <w:top w:val="nil"/>
              <w:left w:val="nil"/>
              <w:bottom w:val="nil"/>
              <w:right w:val="nil"/>
            </w:tcBorders>
            <w:vAlign w:val="bottom"/>
            <w:hideMark/>
          </w:tcPr>
          <w:p w14:paraId="06B70724" w14:textId="77777777" w:rsidR="00082E66" w:rsidRPr="00082E66" w:rsidRDefault="00082E66" w:rsidP="00082E66">
            <w:pPr>
              <w:jc w:val="right"/>
              <w:rPr>
                <w:rFonts w:ascii="Calibri" w:eastAsia="Times New Roman" w:hAnsi="Calibri" w:cs="Calibri"/>
                <w:b/>
                <w:bCs/>
                <w:i/>
                <w:iCs/>
                <w:color w:val="000000"/>
                <w:kern w:val="0"/>
                <w:sz w:val="20"/>
                <w:szCs w:val="20"/>
                <w14:ligatures w14:val="none"/>
              </w:rPr>
            </w:pPr>
            <w:r w:rsidRPr="00082E66">
              <w:rPr>
                <w:rFonts w:ascii="Calibri" w:eastAsia="Times New Roman" w:hAnsi="Calibri" w:cs="Calibri"/>
                <w:b/>
                <w:bCs/>
                <w:i/>
                <w:iCs/>
                <w:color w:val="000000"/>
                <w:kern w:val="0"/>
                <w:sz w:val="20"/>
                <w:szCs w:val="20"/>
                <w14:ligatures w14:val="none"/>
              </w:rPr>
              <w:t>Residential</w:t>
            </w:r>
          </w:p>
        </w:tc>
        <w:tc>
          <w:tcPr>
            <w:tcW w:w="788" w:type="pct"/>
            <w:tcBorders>
              <w:top w:val="nil"/>
              <w:left w:val="nil"/>
              <w:bottom w:val="nil"/>
              <w:right w:val="nil"/>
            </w:tcBorders>
            <w:vAlign w:val="bottom"/>
            <w:hideMark/>
          </w:tcPr>
          <w:p w14:paraId="3699AD72" w14:textId="77777777" w:rsidR="00082E66" w:rsidRPr="00082E66" w:rsidRDefault="00082E66" w:rsidP="00082E66">
            <w:pPr>
              <w:rPr>
                <w:rFonts w:ascii="Calibri" w:eastAsia="Times New Roman" w:hAnsi="Calibri" w:cs="Calibri"/>
                <w:b/>
                <w:bCs/>
                <w:i/>
                <w:iCs/>
                <w:color w:val="000000"/>
                <w:kern w:val="0"/>
                <w:sz w:val="20"/>
                <w:szCs w:val="20"/>
                <w14:ligatures w14:val="none"/>
              </w:rPr>
            </w:pPr>
            <w:r w:rsidRPr="00082E66">
              <w:rPr>
                <w:rFonts w:ascii="Calibri" w:eastAsia="Times New Roman" w:hAnsi="Calibri" w:cs="Calibri"/>
                <w:b/>
                <w:bCs/>
                <w:i/>
                <w:iCs/>
                <w:color w:val="000000"/>
                <w:kern w:val="0"/>
                <w:sz w:val="20"/>
                <w:szCs w:val="20"/>
                <w14:ligatures w14:val="none"/>
              </w:rPr>
              <w:t>Commercial</w:t>
            </w:r>
          </w:p>
        </w:tc>
        <w:tc>
          <w:tcPr>
            <w:tcW w:w="636" w:type="pct"/>
            <w:tcBorders>
              <w:top w:val="nil"/>
              <w:left w:val="nil"/>
              <w:bottom w:val="nil"/>
              <w:right w:val="nil"/>
            </w:tcBorders>
            <w:noWrap/>
            <w:vAlign w:val="bottom"/>
            <w:hideMark/>
          </w:tcPr>
          <w:p w14:paraId="409FCAB0" w14:textId="77777777" w:rsidR="00082E66" w:rsidRPr="00082E66" w:rsidRDefault="00082E66" w:rsidP="00082E66">
            <w:pPr>
              <w:rPr>
                <w:rFonts w:ascii="Calibri" w:eastAsia="Times New Roman" w:hAnsi="Calibri" w:cs="Calibri"/>
                <w:b/>
                <w:bCs/>
                <w:i/>
                <w:iCs/>
                <w:color w:val="000000"/>
                <w:kern w:val="0"/>
                <w:sz w:val="20"/>
                <w:szCs w:val="20"/>
                <w14:ligatures w14:val="none"/>
              </w:rPr>
            </w:pPr>
            <w:r w:rsidRPr="00082E66">
              <w:rPr>
                <w:rFonts w:ascii="Calibri" w:eastAsia="Times New Roman" w:hAnsi="Calibri" w:cs="Calibri"/>
                <w:b/>
                <w:bCs/>
                <w:i/>
                <w:iCs/>
                <w:color w:val="000000"/>
                <w:kern w:val="0"/>
                <w:sz w:val="20"/>
                <w:szCs w:val="20"/>
                <w14:ligatures w14:val="none"/>
              </w:rPr>
              <w:t>Industrial</w:t>
            </w:r>
          </w:p>
        </w:tc>
      </w:tr>
      <w:tr w:rsidR="00082E66" w:rsidRPr="00082E66" w14:paraId="1FD98A09" w14:textId="77777777" w:rsidTr="00E05C17">
        <w:trPr>
          <w:trHeight w:val="300"/>
        </w:trPr>
        <w:tc>
          <w:tcPr>
            <w:tcW w:w="1114" w:type="pct"/>
            <w:tcBorders>
              <w:top w:val="nil"/>
              <w:left w:val="nil"/>
              <w:bottom w:val="nil"/>
              <w:right w:val="nil"/>
            </w:tcBorders>
            <w:vAlign w:val="bottom"/>
            <w:hideMark/>
          </w:tcPr>
          <w:p w14:paraId="378EC66C"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CA, October 2025</w:t>
            </w:r>
          </w:p>
        </w:tc>
        <w:tc>
          <w:tcPr>
            <w:tcW w:w="2462" w:type="pct"/>
            <w:tcBorders>
              <w:top w:val="nil"/>
              <w:left w:val="nil"/>
              <w:bottom w:val="nil"/>
              <w:right w:val="nil"/>
            </w:tcBorders>
            <w:vAlign w:val="bottom"/>
            <w:hideMark/>
          </w:tcPr>
          <w:p w14:paraId="7B5EE683"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$21.29</w:t>
            </w:r>
          </w:p>
        </w:tc>
        <w:tc>
          <w:tcPr>
            <w:tcW w:w="788" w:type="pct"/>
            <w:tcBorders>
              <w:top w:val="nil"/>
              <w:left w:val="nil"/>
              <w:bottom w:val="nil"/>
              <w:right w:val="nil"/>
            </w:tcBorders>
            <w:vAlign w:val="bottom"/>
            <w:hideMark/>
          </w:tcPr>
          <w:p w14:paraId="02BE2229"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$15.86</w:t>
            </w:r>
          </w:p>
        </w:tc>
        <w:tc>
          <w:tcPr>
            <w:tcW w:w="636" w:type="pct"/>
            <w:tcBorders>
              <w:top w:val="nil"/>
              <w:left w:val="nil"/>
              <w:bottom w:val="nil"/>
              <w:right w:val="nil"/>
            </w:tcBorders>
            <w:vAlign w:val="bottom"/>
            <w:hideMark/>
          </w:tcPr>
          <w:p w14:paraId="53312808"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$12.64</w:t>
            </w:r>
          </w:p>
        </w:tc>
      </w:tr>
      <w:tr w:rsidR="00082E66" w:rsidRPr="00082E66" w14:paraId="2BE23E62" w14:textId="77777777" w:rsidTr="00E05C17">
        <w:trPr>
          <w:trHeight w:val="300"/>
        </w:trPr>
        <w:tc>
          <w:tcPr>
            <w:tcW w:w="1114" w:type="pct"/>
            <w:tcBorders>
              <w:top w:val="nil"/>
              <w:left w:val="nil"/>
              <w:bottom w:val="nil"/>
              <w:right w:val="nil"/>
            </w:tcBorders>
            <w:vAlign w:val="bottom"/>
            <w:hideMark/>
          </w:tcPr>
          <w:p w14:paraId="77913E8D"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CA, October 2024</w:t>
            </w:r>
          </w:p>
        </w:tc>
        <w:tc>
          <w:tcPr>
            <w:tcW w:w="2462" w:type="pct"/>
            <w:tcBorders>
              <w:top w:val="nil"/>
              <w:left w:val="nil"/>
              <w:bottom w:val="nil"/>
              <w:right w:val="nil"/>
            </w:tcBorders>
            <w:vAlign w:val="bottom"/>
            <w:hideMark/>
          </w:tcPr>
          <w:p w14:paraId="1A19ABC6"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$19.49</w:t>
            </w:r>
          </w:p>
        </w:tc>
        <w:tc>
          <w:tcPr>
            <w:tcW w:w="788" w:type="pct"/>
            <w:tcBorders>
              <w:top w:val="nil"/>
              <w:left w:val="nil"/>
              <w:bottom w:val="nil"/>
              <w:right w:val="nil"/>
            </w:tcBorders>
            <w:vAlign w:val="bottom"/>
            <w:hideMark/>
          </w:tcPr>
          <w:p w14:paraId="65DF8AD7"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$14.01</w:t>
            </w:r>
          </w:p>
        </w:tc>
        <w:tc>
          <w:tcPr>
            <w:tcW w:w="636" w:type="pct"/>
            <w:tcBorders>
              <w:top w:val="nil"/>
              <w:left w:val="nil"/>
              <w:bottom w:val="nil"/>
              <w:right w:val="nil"/>
            </w:tcBorders>
            <w:vAlign w:val="bottom"/>
            <w:hideMark/>
          </w:tcPr>
          <w:p w14:paraId="4BDE57FC"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$11.58</w:t>
            </w:r>
          </w:p>
        </w:tc>
      </w:tr>
      <w:tr w:rsidR="00082E66" w:rsidRPr="00082E66" w14:paraId="3571C52C" w14:textId="77777777" w:rsidTr="00E05C17">
        <w:trPr>
          <w:trHeight w:val="300"/>
        </w:trPr>
        <w:tc>
          <w:tcPr>
            <w:tcW w:w="1114" w:type="pct"/>
            <w:tcBorders>
              <w:top w:val="nil"/>
              <w:left w:val="nil"/>
              <w:bottom w:val="nil"/>
              <w:right w:val="nil"/>
            </w:tcBorders>
            <w:vAlign w:val="bottom"/>
            <w:hideMark/>
          </w:tcPr>
          <w:p w14:paraId="217FF54B"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 xml:space="preserve">   Change</w:t>
            </w:r>
          </w:p>
        </w:tc>
        <w:tc>
          <w:tcPr>
            <w:tcW w:w="2462" w:type="pct"/>
            <w:tcBorders>
              <w:top w:val="nil"/>
              <w:left w:val="nil"/>
              <w:bottom w:val="nil"/>
              <w:right w:val="nil"/>
            </w:tcBorders>
            <w:vAlign w:val="bottom"/>
            <w:hideMark/>
          </w:tcPr>
          <w:p w14:paraId="44F200DB"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9.2%</w:t>
            </w:r>
          </w:p>
        </w:tc>
        <w:tc>
          <w:tcPr>
            <w:tcW w:w="788" w:type="pct"/>
            <w:tcBorders>
              <w:top w:val="nil"/>
              <w:left w:val="nil"/>
              <w:bottom w:val="nil"/>
              <w:right w:val="nil"/>
            </w:tcBorders>
            <w:vAlign w:val="bottom"/>
            <w:hideMark/>
          </w:tcPr>
          <w:p w14:paraId="1317BDC2"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13.2%</w:t>
            </w:r>
          </w:p>
        </w:tc>
        <w:tc>
          <w:tcPr>
            <w:tcW w:w="636" w:type="pct"/>
            <w:tcBorders>
              <w:top w:val="nil"/>
              <w:left w:val="nil"/>
              <w:bottom w:val="nil"/>
              <w:right w:val="nil"/>
            </w:tcBorders>
            <w:vAlign w:val="bottom"/>
            <w:hideMark/>
          </w:tcPr>
          <w:p w14:paraId="10D77A0B"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9.2%</w:t>
            </w:r>
          </w:p>
        </w:tc>
      </w:tr>
      <w:tr w:rsidR="00082E66" w:rsidRPr="00082E66" w14:paraId="17C634F0" w14:textId="77777777" w:rsidTr="00E05C17">
        <w:trPr>
          <w:trHeight w:val="465"/>
        </w:trPr>
        <w:tc>
          <w:tcPr>
            <w:tcW w:w="1114" w:type="pct"/>
            <w:tcBorders>
              <w:top w:val="nil"/>
              <w:left w:val="nil"/>
              <w:bottom w:val="nil"/>
              <w:right w:val="nil"/>
            </w:tcBorders>
            <w:vAlign w:val="bottom"/>
            <w:hideMark/>
          </w:tcPr>
          <w:p w14:paraId="68A60645" w14:textId="77777777" w:rsidR="00082E66" w:rsidRPr="00082E66" w:rsidRDefault="00082E66" w:rsidP="00082E66">
            <w:pPr>
              <w:jc w:val="right"/>
              <w:rPr>
                <w:rFonts w:ascii="Calibri" w:eastAsia="Times New Roman" w:hAnsi="Calibri" w:cs="Calibri"/>
                <w:color w:val="000000"/>
                <w:kern w:val="0"/>
                <w14:ligatures w14:val="none"/>
              </w:rPr>
            </w:pPr>
          </w:p>
        </w:tc>
        <w:tc>
          <w:tcPr>
            <w:tcW w:w="2462" w:type="pct"/>
            <w:tcBorders>
              <w:top w:val="nil"/>
              <w:left w:val="nil"/>
              <w:bottom w:val="nil"/>
              <w:right w:val="nil"/>
            </w:tcBorders>
            <w:vAlign w:val="bottom"/>
            <w:hideMark/>
          </w:tcPr>
          <w:p w14:paraId="444B6460"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1B569284" w14:textId="77777777" w:rsidR="00082E66" w:rsidRPr="00082E66" w:rsidRDefault="00082E66" w:rsidP="00082E66">
            <w:pPr>
              <w:jc w:val="right"/>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633F8B0C" w14:textId="77777777" w:rsidR="00082E66" w:rsidRPr="00082E66" w:rsidRDefault="00082E66" w:rsidP="00082E66">
            <w:pPr>
              <w:jc w:val="right"/>
              <w:rPr>
                <w:rFonts w:ascii="Times New Roman" w:eastAsia="Times New Roman" w:hAnsi="Times New Roman" w:cs="Times New Roman"/>
                <w:kern w:val="0"/>
                <w:sz w:val="20"/>
                <w:szCs w:val="20"/>
                <w14:ligatures w14:val="none"/>
              </w:rPr>
            </w:pPr>
          </w:p>
        </w:tc>
      </w:tr>
      <w:tr w:rsidR="00082E66" w:rsidRPr="00082E66" w14:paraId="02B07B51" w14:textId="77777777" w:rsidTr="00E05C17">
        <w:trPr>
          <w:trHeight w:val="600"/>
        </w:trPr>
        <w:tc>
          <w:tcPr>
            <w:tcW w:w="1114" w:type="pct"/>
            <w:tcBorders>
              <w:top w:val="nil"/>
              <w:left w:val="nil"/>
              <w:bottom w:val="nil"/>
              <w:right w:val="nil"/>
            </w:tcBorders>
            <w:vAlign w:val="bottom"/>
            <w:hideMark/>
          </w:tcPr>
          <w:p w14:paraId="29E98C0B"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Rest of US, October 2025</w:t>
            </w:r>
          </w:p>
        </w:tc>
        <w:tc>
          <w:tcPr>
            <w:tcW w:w="2462" w:type="pct"/>
            <w:tcBorders>
              <w:top w:val="nil"/>
              <w:left w:val="nil"/>
              <w:bottom w:val="nil"/>
              <w:right w:val="nil"/>
            </w:tcBorders>
            <w:vAlign w:val="bottom"/>
            <w:hideMark/>
          </w:tcPr>
          <w:p w14:paraId="7FAE45F4"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$14.28</w:t>
            </w:r>
          </w:p>
        </w:tc>
        <w:tc>
          <w:tcPr>
            <w:tcW w:w="788" w:type="pct"/>
            <w:tcBorders>
              <w:top w:val="nil"/>
              <w:left w:val="nil"/>
              <w:bottom w:val="nil"/>
              <w:right w:val="nil"/>
            </w:tcBorders>
            <w:vAlign w:val="bottom"/>
            <w:hideMark/>
          </w:tcPr>
          <w:p w14:paraId="5BBE982D"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$10.32</w:t>
            </w:r>
          </w:p>
        </w:tc>
        <w:tc>
          <w:tcPr>
            <w:tcW w:w="636" w:type="pct"/>
            <w:tcBorders>
              <w:top w:val="nil"/>
              <w:left w:val="nil"/>
              <w:bottom w:val="nil"/>
              <w:right w:val="nil"/>
            </w:tcBorders>
            <w:vAlign w:val="bottom"/>
            <w:hideMark/>
          </w:tcPr>
          <w:p w14:paraId="39E0DDF9"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$4.33</w:t>
            </w:r>
          </w:p>
        </w:tc>
      </w:tr>
      <w:tr w:rsidR="00082E66" w:rsidRPr="00082E66" w14:paraId="1A3975CA" w14:textId="77777777" w:rsidTr="00E05C17">
        <w:trPr>
          <w:trHeight w:val="810"/>
        </w:trPr>
        <w:tc>
          <w:tcPr>
            <w:tcW w:w="1114" w:type="pct"/>
            <w:tcBorders>
              <w:top w:val="nil"/>
              <w:left w:val="nil"/>
              <w:bottom w:val="nil"/>
              <w:right w:val="nil"/>
            </w:tcBorders>
            <w:vAlign w:val="bottom"/>
            <w:hideMark/>
          </w:tcPr>
          <w:p w14:paraId="47778E71"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Rest of US, October 2024</w:t>
            </w:r>
          </w:p>
        </w:tc>
        <w:tc>
          <w:tcPr>
            <w:tcW w:w="2462" w:type="pct"/>
            <w:tcBorders>
              <w:top w:val="nil"/>
              <w:left w:val="nil"/>
              <w:bottom w:val="nil"/>
              <w:right w:val="nil"/>
            </w:tcBorders>
            <w:vAlign w:val="bottom"/>
            <w:hideMark/>
          </w:tcPr>
          <w:p w14:paraId="50A071D9"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$14.66</w:t>
            </w:r>
          </w:p>
        </w:tc>
        <w:tc>
          <w:tcPr>
            <w:tcW w:w="788" w:type="pct"/>
            <w:tcBorders>
              <w:top w:val="nil"/>
              <w:left w:val="nil"/>
              <w:bottom w:val="nil"/>
              <w:right w:val="nil"/>
            </w:tcBorders>
            <w:vAlign w:val="bottom"/>
            <w:hideMark/>
          </w:tcPr>
          <w:p w14:paraId="363C78C9"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$9.79</w:t>
            </w:r>
          </w:p>
        </w:tc>
        <w:tc>
          <w:tcPr>
            <w:tcW w:w="636" w:type="pct"/>
            <w:tcBorders>
              <w:top w:val="nil"/>
              <w:left w:val="nil"/>
              <w:bottom w:val="nil"/>
              <w:right w:val="nil"/>
            </w:tcBorders>
            <w:vAlign w:val="bottom"/>
            <w:hideMark/>
          </w:tcPr>
          <w:p w14:paraId="48F28086"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$3.33</w:t>
            </w:r>
          </w:p>
        </w:tc>
      </w:tr>
      <w:tr w:rsidR="00082E66" w:rsidRPr="00082E66" w14:paraId="23D64C0F" w14:textId="77777777" w:rsidTr="00E05C17">
        <w:trPr>
          <w:trHeight w:val="300"/>
        </w:trPr>
        <w:tc>
          <w:tcPr>
            <w:tcW w:w="1114" w:type="pct"/>
            <w:tcBorders>
              <w:top w:val="nil"/>
              <w:left w:val="nil"/>
              <w:bottom w:val="nil"/>
              <w:right w:val="nil"/>
            </w:tcBorders>
            <w:vAlign w:val="bottom"/>
            <w:hideMark/>
          </w:tcPr>
          <w:p w14:paraId="29688972"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 xml:space="preserve">   Change</w:t>
            </w:r>
          </w:p>
        </w:tc>
        <w:tc>
          <w:tcPr>
            <w:tcW w:w="2462" w:type="pct"/>
            <w:tcBorders>
              <w:top w:val="nil"/>
              <w:left w:val="nil"/>
              <w:bottom w:val="nil"/>
              <w:right w:val="nil"/>
            </w:tcBorders>
            <w:vAlign w:val="bottom"/>
            <w:hideMark/>
          </w:tcPr>
          <w:p w14:paraId="2A6DA3B2"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-2.6%</w:t>
            </w:r>
          </w:p>
        </w:tc>
        <w:tc>
          <w:tcPr>
            <w:tcW w:w="788" w:type="pct"/>
            <w:tcBorders>
              <w:top w:val="nil"/>
              <w:left w:val="nil"/>
              <w:bottom w:val="nil"/>
              <w:right w:val="nil"/>
            </w:tcBorders>
            <w:vAlign w:val="bottom"/>
            <w:hideMark/>
          </w:tcPr>
          <w:p w14:paraId="4B2DAFDE"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5.4%</w:t>
            </w:r>
          </w:p>
        </w:tc>
        <w:tc>
          <w:tcPr>
            <w:tcW w:w="636" w:type="pct"/>
            <w:tcBorders>
              <w:top w:val="nil"/>
              <w:left w:val="nil"/>
              <w:bottom w:val="nil"/>
              <w:right w:val="nil"/>
            </w:tcBorders>
            <w:vAlign w:val="bottom"/>
            <w:hideMark/>
          </w:tcPr>
          <w:p w14:paraId="32C0A713"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30.0%</w:t>
            </w:r>
          </w:p>
        </w:tc>
      </w:tr>
      <w:tr w:rsidR="00082E66" w:rsidRPr="00082E66" w14:paraId="1CCD01E0" w14:textId="77777777" w:rsidTr="00E05C17">
        <w:trPr>
          <w:trHeight w:val="300"/>
        </w:trPr>
        <w:tc>
          <w:tcPr>
            <w:tcW w:w="1114" w:type="pct"/>
            <w:tcBorders>
              <w:top w:val="nil"/>
              <w:left w:val="nil"/>
              <w:bottom w:val="nil"/>
              <w:right w:val="nil"/>
            </w:tcBorders>
            <w:vAlign w:val="bottom"/>
            <w:hideMark/>
          </w:tcPr>
          <w:p w14:paraId="6F30B237" w14:textId="77777777" w:rsidR="00082E66" w:rsidRPr="00082E66" w:rsidRDefault="00082E66" w:rsidP="00082E66">
            <w:pPr>
              <w:jc w:val="right"/>
              <w:rPr>
                <w:rFonts w:ascii="Calibri" w:eastAsia="Times New Roman" w:hAnsi="Calibri" w:cs="Calibri"/>
                <w:color w:val="000000"/>
                <w:kern w:val="0"/>
                <w14:ligatures w14:val="none"/>
              </w:rPr>
            </w:pPr>
          </w:p>
        </w:tc>
        <w:tc>
          <w:tcPr>
            <w:tcW w:w="2462" w:type="pct"/>
            <w:tcBorders>
              <w:top w:val="nil"/>
              <w:left w:val="nil"/>
              <w:bottom w:val="nil"/>
              <w:right w:val="nil"/>
            </w:tcBorders>
            <w:vAlign w:val="bottom"/>
            <w:hideMark/>
          </w:tcPr>
          <w:p w14:paraId="3A31CEDC" w14:textId="77777777" w:rsidR="00082E66" w:rsidRPr="00082E66" w:rsidRDefault="00082E66" w:rsidP="00082E66">
            <w:pPr>
              <w:rPr>
                <w:rFonts w:ascii="Times New Roman" w:eastAsia="Times New Roman" w:hAnsi="Times New Roman" w:cs="Times New Roman"/>
                <w:kern w:val="0"/>
                <w:sz w:val="20"/>
                <w:szCs w:val="20"/>
                <w14:ligatures w14:val="none"/>
              </w:rPr>
            </w:pPr>
          </w:p>
        </w:tc>
        <w:tc>
          <w:tcPr>
            <w:tcW w:w="788" w:type="pct"/>
            <w:tcBorders>
              <w:top w:val="nil"/>
              <w:left w:val="nil"/>
              <w:bottom w:val="nil"/>
              <w:right w:val="nil"/>
            </w:tcBorders>
            <w:vAlign w:val="bottom"/>
            <w:hideMark/>
          </w:tcPr>
          <w:p w14:paraId="23D99089" w14:textId="77777777" w:rsidR="00082E66" w:rsidRPr="00082E66" w:rsidRDefault="00082E66" w:rsidP="00082E66">
            <w:pPr>
              <w:jc w:val="right"/>
              <w:rPr>
                <w:rFonts w:ascii="Times New Roman" w:eastAsia="Times New Roman" w:hAnsi="Times New Roman" w:cs="Times New Roman"/>
                <w:kern w:val="0"/>
                <w:sz w:val="20"/>
                <w:szCs w:val="20"/>
                <w14:ligatures w14:val="none"/>
              </w:rPr>
            </w:pPr>
          </w:p>
        </w:tc>
        <w:tc>
          <w:tcPr>
            <w:tcW w:w="636" w:type="pct"/>
            <w:tcBorders>
              <w:top w:val="nil"/>
              <w:left w:val="nil"/>
              <w:bottom w:val="nil"/>
              <w:right w:val="nil"/>
            </w:tcBorders>
            <w:noWrap/>
            <w:vAlign w:val="bottom"/>
            <w:hideMark/>
          </w:tcPr>
          <w:p w14:paraId="6C8A9D9A" w14:textId="77777777" w:rsidR="00082E66" w:rsidRPr="00082E66" w:rsidRDefault="00082E66" w:rsidP="00082E66">
            <w:pPr>
              <w:jc w:val="right"/>
              <w:rPr>
                <w:rFonts w:ascii="Times New Roman" w:eastAsia="Times New Roman" w:hAnsi="Times New Roman" w:cs="Times New Roman"/>
                <w:kern w:val="0"/>
                <w:sz w:val="20"/>
                <w:szCs w:val="20"/>
                <w14:ligatures w14:val="none"/>
              </w:rPr>
            </w:pPr>
          </w:p>
        </w:tc>
      </w:tr>
      <w:tr w:rsidR="00082E66" w:rsidRPr="00082E66" w14:paraId="10426265" w14:textId="77777777" w:rsidTr="00E05C17">
        <w:trPr>
          <w:trHeight w:val="465"/>
        </w:trPr>
        <w:tc>
          <w:tcPr>
            <w:tcW w:w="1114" w:type="pct"/>
            <w:tcBorders>
              <w:top w:val="nil"/>
              <w:left w:val="nil"/>
              <w:bottom w:val="nil"/>
              <w:right w:val="nil"/>
            </w:tcBorders>
            <w:vAlign w:val="bottom"/>
            <w:hideMark/>
          </w:tcPr>
          <w:p w14:paraId="7FCDBB9F"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CA premium over Rest of US, October 2025</w:t>
            </w:r>
          </w:p>
        </w:tc>
        <w:tc>
          <w:tcPr>
            <w:tcW w:w="2462" w:type="pct"/>
            <w:tcBorders>
              <w:top w:val="nil"/>
              <w:left w:val="nil"/>
              <w:bottom w:val="nil"/>
              <w:right w:val="nil"/>
            </w:tcBorders>
            <w:vAlign w:val="bottom"/>
            <w:hideMark/>
          </w:tcPr>
          <w:p w14:paraId="12A3CD62"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49.1%</w:t>
            </w:r>
          </w:p>
        </w:tc>
        <w:tc>
          <w:tcPr>
            <w:tcW w:w="788" w:type="pct"/>
            <w:tcBorders>
              <w:top w:val="nil"/>
              <w:left w:val="nil"/>
              <w:bottom w:val="nil"/>
              <w:right w:val="nil"/>
            </w:tcBorders>
            <w:vAlign w:val="bottom"/>
            <w:hideMark/>
          </w:tcPr>
          <w:p w14:paraId="310ADD94"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53.7%</w:t>
            </w:r>
          </w:p>
        </w:tc>
        <w:tc>
          <w:tcPr>
            <w:tcW w:w="636" w:type="pct"/>
            <w:tcBorders>
              <w:top w:val="nil"/>
              <w:left w:val="nil"/>
              <w:bottom w:val="nil"/>
              <w:right w:val="nil"/>
            </w:tcBorders>
            <w:vAlign w:val="bottom"/>
            <w:hideMark/>
          </w:tcPr>
          <w:p w14:paraId="08E33A5B"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191.9%</w:t>
            </w:r>
          </w:p>
        </w:tc>
      </w:tr>
      <w:tr w:rsidR="00082E66" w:rsidRPr="00082E66" w14:paraId="54FDA940" w14:textId="77777777" w:rsidTr="00E05C17">
        <w:trPr>
          <w:trHeight w:val="600"/>
        </w:trPr>
        <w:tc>
          <w:tcPr>
            <w:tcW w:w="1114" w:type="pct"/>
            <w:tcBorders>
              <w:top w:val="nil"/>
              <w:left w:val="nil"/>
              <w:bottom w:val="nil"/>
              <w:right w:val="nil"/>
            </w:tcBorders>
            <w:vAlign w:val="bottom"/>
            <w:hideMark/>
          </w:tcPr>
          <w:p w14:paraId="5DC56C0B" w14:textId="77777777" w:rsidR="00082E66" w:rsidRPr="00082E66" w:rsidRDefault="00082E66" w:rsidP="00082E66">
            <w:pPr>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CA premium over Rest of US, October 2024</w:t>
            </w:r>
          </w:p>
        </w:tc>
        <w:tc>
          <w:tcPr>
            <w:tcW w:w="2462" w:type="pct"/>
            <w:tcBorders>
              <w:top w:val="nil"/>
              <w:left w:val="nil"/>
              <w:bottom w:val="nil"/>
              <w:right w:val="nil"/>
            </w:tcBorders>
            <w:vAlign w:val="bottom"/>
            <w:hideMark/>
          </w:tcPr>
          <w:p w14:paraId="79CEDA67"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32.9%</w:t>
            </w:r>
          </w:p>
        </w:tc>
        <w:tc>
          <w:tcPr>
            <w:tcW w:w="788" w:type="pct"/>
            <w:tcBorders>
              <w:top w:val="nil"/>
              <w:left w:val="nil"/>
              <w:bottom w:val="nil"/>
              <w:right w:val="nil"/>
            </w:tcBorders>
            <w:vAlign w:val="bottom"/>
            <w:hideMark/>
          </w:tcPr>
          <w:p w14:paraId="0F9D9DA7"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43.1%</w:t>
            </w:r>
          </w:p>
        </w:tc>
        <w:tc>
          <w:tcPr>
            <w:tcW w:w="636" w:type="pct"/>
            <w:tcBorders>
              <w:top w:val="nil"/>
              <w:left w:val="nil"/>
              <w:bottom w:val="nil"/>
              <w:right w:val="nil"/>
            </w:tcBorders>
            <w:vAlign w:val="bottom"/>
            <w:hideMark/>
          </w:tcPr>
          <w:p w14:paraId="2CB5C970" w14:textId="77777777" w:rsidR="00082E66" w:rsidRPr="00082E66" w:rsidRDefault="00082E66" w:rsidP="00082E66">
            <w:pPr>
              <w:jc w:val="right"/>
              <w:rPr>
                <w:rFonts w:ascii="Calibri" w:eastAsia="Times New Roman" w:hAnsi="Calibri" w:cs="Calibri"/>
                <w:color w:val="000000"/>
                <w:kern w:val="0"/>
                <w14:ligatures w14:val="none"/>
              </w:rPr>
            </w:pPr>
            <w:r w:rsidRPr="00082E66">
              <w:rPr>
                <w:rFonts w:ascii="Calibri" w:eastAsia="Times New Roman" w:hAnsi="Calibri" w:cs="Calibri"/>
                <w:color w:val="000000"/>
                <w:kern w:val="0"/>
                <w14:ligatures w14:val="none"/>
              </w:rPr>
              <w:t>247.7%</w:t>
            </w:r>
          </w:p>
        </w:tc>
      </w:tr>
    </w:tbl>
    <w:p w14:paraId="1FA32241" w14:textId="77777777" w:rsidR="00082E66" w:rsidRPr="0087086E" w:rsidRDefault="00082E66" w:rsidP="001168BD">
      <w:pPr>
        <w:rPr>
          <w:b/>
          <w:bCs/>
        </w:rPr>
      </w:pPr>
    </w:p>
    <w:sectPr w:rsidR="00082E66" w:rsidRPr="00870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215FA"/>
    <w:multiLevelType w:val="hybridMultilevel"/>
    <w:tmpl w:val="7B22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446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FE"/>
    <w:rsid w:val="0005482E"/>
    <w:rsid w:val="000679FE"/>
    <w:rsid w:val="00082E66"/>
    <w:rsid w:val="000C2DED"/>
    <w:rsid w:val="001168BD"/>
    <w:rsid w:val="001404E1"/>
    <w:rsid w:val="00170C2B"/>
    <w:rsid w:val="001737C2"/>
    <w:rsid w:val="00205693"/>
    <w:rsid w:val="002175BC"/>
    <w:rsid w:val="002824C7"/>
    <w:rsid w:val="002B2BCA"/>
    <w:rsid w:val="002C0DED"/>
    <w:rsid w:val="002C205D"/>
    <w:rsid w:val="002E6EE0"/>
    <w:rsid w:val="00361363"/>
    <w:rsid w:val="00415018"/>
    <w:rsid w:val="00423E5F"/>
    <w:rsid w:val="00484077"/>
    <w:rsid w:val="00490E29"/>
    <w:rsid w:val="00491B44"/>
    <w:rsid w:val="004B6740"/>
    <w:rsid w:val="004B7334"/>
    <w:rsid w:val="004D3167"/>
    <w:rsid w:val="004F0D26"/>
    <w:rsid w:val="00593873"/>
    <w:rsid w:val="00596941"/>
    <w:rsid w:val="005C6611"/>
    <w:rsid w:val="005D246E"/>
    <w:rsid w:val="005F4CB4"/>
    <w:rsid w:val="00627FD6"/>
    <w:rsid w:val="00637123"/>
    <w:rsid w:val="00640922"/>
    <w:rsid w:val="006549AA"/>
    <w:rsid w:val="006E22D4"/>
    <w:rsid w:val="007742E5"/>
    <w:rsid w:val="00852751"/>
    <w:rsid w:val="0087086E"/>
    <w:rsid w:val="009569AC"/>
    <w:rsid w:val="00A46E3D"/>
    <w:rsid w:val="00A659BD"/>
    <w:rsid w:val="00AD57EB"/>
    <w:rsid w:val="00B35B21"/>
    <w:rsid w:val="00B53CA4"/>
    <w:rsid w:val="00B92D62"/>
    <w:rsid w:val="00BA103A"/>
    <w:rsid w:val="00BB30F9"/>
    <w:rsid w:val="00BC140C"/>
    <w:rsid w:val="00BE20CC"/>
    <w:rsid w:val="00BE2A03"/>
    <w:rsid w:val="00BF2E4A"/>
    <w:rsid w:val="00CB5153"/>
    <w:rsid w:val="00E05C17"/>
    <w:rsid w:val="00E06415"/>
    <w:rsid w:val="00E27F1D"/>
    <w:rsid w:val="00E6055F"/>
    <w:rsid w:val="00F94FA7"/>
    <w:rsid w:val="00FC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0FA1"/>
  <w15:chartTrackingRefBased/>
  <w15:docId w15:val="{A2FA48B8-1293-4A02-95FB-A058751C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DED"/>
    <w:pPr>
      <w:spacing w:line="240" w:lineRule="auto"/>
    </w:pPr>
    <w:rPr>
      <w:rFonts w:ascii="Garamond" w:hAnsi="Garamond"/>
    </w:rPr>
  </w:style>
  <w:style w:type="paragraph" w:styleId="Heading1">
    <w:name w:val="heading 1"/>
    <w:basedOn w:val="Normal"/>
    <w:next w:val="Normal"/>
    <w:link w:val="Heading1Char"/>
    <w:uiPriority w:val="9"/>
    <w:qFormat/>
    <w:rsid w:val="00BC140C"/>
    <w:pPr>
      <w:keepNext/>
      <w:keepLines/>
      <w:spacing w:before="360" w:after="80"/>
      <w:outlineLvl w:val="0"/>
    </w:pPr>
    <w:rPr>
      <w:rFonts w:eastAsiaTheme="majorEastAsia" w:cstheme="majorBidi"/>
      <w:b/>
      <w:sz w:val="40"/>
      <w:szCs w:val="40"/>
    </w:rPr>
  </w:style>
  <w:style w:type="paragraph" w:styleId="Heading2">
    <w:name w:val="heading 2"/>
    <w:basedOn w:val="Normal"/>
    <w:next w:val="Normal"/>
    <w:link w:val="Heading2Char"/>
    <w:autoRedefine/>
    <w:uiPriority w:val="9"/>
    <w:unhideWhenUsed/>
    <w:qFormat/>
    <w:rsid w:val="005D246E"/>
    <w:pPr>
      <w:keepNext/>
      <w:keepLines/>
      <w:outlineLvl w:val="1"/>
    </w:pPr>
    <w:rPr>
      <w:rFonts w:eastAsiaTheme="majorEastAsia" w:cstheme="majorBidi"/>
      <w:b/>
      <w:bCs/>
      <w:sz w:val="28"/>
      <w:szCs w:val="28"/>
    </w:rPr>
  </w:style>
  <w:style w:type="paragraph" w:styleId="Heading3">
    <w:name w:val="heading 3"/>
    <w:basedOn w:val="Normal"/>
    <w:next w:val="Normal"/>
    <w:link w:val="Heading3Char"/>
    <w:autoRedefine/>
    <w:uiPriority w:val="9"/>
    <w:unhideWhenUsed/>
    <w:qFormat/>
    <w:rsid w:val="00BC140C"/>
    <w:pPr>
      <w:outlineLvl w:val="2"/>
    </w:pPr>
    <w:rPr>
      <w:b/>
      <w:bCs/>
      <w:u w:val="single"/>
    </w:rPr>
  </w:style>
  <w:style w:type="paragraph" w:styleId="Heading4">
    <w:name w:val="heading 4"/>
    <w:basedOn w:val="Normal"/>
    <w:next w:val="Normal"/>
    <w:link w:val="Heading4Char"/>
    <w:uiPriority w:val="9"/>
    <w:semiHidden/>
    <w:unhideWhenUsed/>
    <w:qFormat/>
    <w:rsid w:val="000679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79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79F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79F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79F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79F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96941"/>
    <w:rPr>
      <w:i/>
      <w:iCs/>
      <w:color w:val="0E2841" w:themeColor="text2"/>
      <w:kern w:val="0"/>
      <w:szCs w:val="18"/>
      <w14:ligatures w14:val="none"/>
    </w:rPr>
  </w:style>
  <w:style w:type="character" w:customStyle="1" w:styleId="Heading1Char">
    <w:name w:val="Heading 1 Char"/>
    <w:basedOn w:val="DefaultParagraphFont"/>
    <w:link w:val="Heading1"/>
    <w:uiPriority w:val="9"/>
    <w:rsid w:val="00BC140C"/>
    <w:rPr>
      <w:rFonts w:ascii="Garamond" w:eastAsiaTheme="majorEastAsia" w:hAnsi="Garamond" w:cstheme="majorBidi"/>
      <w:b/>
      <w:sz w:val="40"/>
      <w:szCs w:val="40"/>
    </w:rPr>
  </w:style>
  <w:style w:type="character" w:customStyle="1" w:styleId="Heading2Char">
    <w:name w:val="Heading 2 Char"/>
    <w:basedOn w:val="DefaultParagraphFont"/>
    <w:link w:val="Heading2"/>
    <w:uiPriority w:val="9"/>
    <w:rsid w:val="005D246E"/>
    <w:rPr>
      <w:rFonts w:ascii="Garamond" w:eastAsiaTheme="majorEastAsia" w:hAnsi="Garamond" w:cstheme="majorBidi"/>
      <w:b/>
      <w:bCs/>
      <w:sz w:val="28"/>
      <w:szCs w:val="28"/>
    </w:rPr>
  </w:style>
  <w:style w:type="character" w:customStyle="1" w:styleId="Heading3Char">
    <w:name w:val="Heading 3 Char"/>
    <w:basedOn w:val="DefaultParagraphFont"/>
    <w:link w:val="Heading3"/>
    <w:uiPriority w:val="9"/>
    <w:rsid w:val="00BC140C"/>
    <w:rPr>
      <w:rFonts w:ascii="Garamond" w:hAnsi="Garamond"/>
      <w:b/>
      <w:bCs/>
      <w:u w:val="single"/>
    </w:rPr>
  </w:style>
  <w:style w:type="character" w:customStyle="1" w:styleId="Heading4Char">
    <w:name w:val="Heading 4 Char"/>
    <w:basedOn w:val="DefaultParagraphFont"/>
    <w:link w:val="Heading4"/>
    <w:uiPriority w:val="9"/>
    <w:semiHidden/>
    <w:rsid w:val="00067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9FE"/>
    <w:rPr>
      <w:rFonts w:eastAsiaTheme="majorEastAsia" w:cstheme="majorBidi"/>
      <w:color w:val="272727" w:themeColor="text1" w:themeTint="D8"/>
    </w:rPr>
  </w:style>
  <w:style w:type="paragraph" w:styleId="Title">
    <w:name w:val="Title"/>
    <w:basedOn w:val="Normal"/>
    <w:next w:val="Normal"/>
    <w:link w:val="TitleChar"/>
    <w:uiPriority w:val="10"/>
    <w:qFormat/>
    <w:rsid w:val="000679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9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9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79FE"/>
    <w:rPr>
      <w:rFonts w:ascii="Garamond" w:hAnsi="Garamond"/>
      <w:i/>
      <w:iCs/>
      <w:color w:val="404040" w:themeColor="text1" w:themeTint="BF"/>
    </w:rPr>
  </w:style>
  <w:style w:type="paragraph" w:styleId="ListParagraph">
    <w:name w:val="List Paragraph"/>
    <w:basedOn w:val="Normal"/>
    <w:uiPriority w:val="34"/>
    <w:qFormat/>
    <w:rsid w:val="000679FE"/>
    <w:pPr>
      <w:ind w:left="720"/>
      <w:contextualSpacing/>
    </w:pPr>
  </w:style>
  <w:style w:type="character" w:styleId="IntenseEmphasis">
    <w:name w:val="Intense Emphasis"/>
    <w:basedOn w:val="DefaultParagraphFont"/>
    <w:uiPriority w:val="21"/>
    <w:qFormat/>
    <w:rsid w:val="000679FE"/>
    <w:rPr>
      <w:i/>
      <w:iCs/>
      <w:color w:val="0F4761" w:themeColor="accent1" w:themeShade="BF"/>
    </w:rPr>
  </w:style>
  <w:style w:type="paragraph" w:styleId="IntenseQuote">
    <w:name w:val="Intense Quote"/>
    <w:basedOn w:val="Normal"/>
    <w:next w:val="Normal"/>
    <w:link w:val="IntenseQuoteChar"/>
    <w:uiPriority w:val="30"/>
    <w:qFormat/>
    <w:rsid w:val="00067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9FE"/>
    <w:rPr>
      <w:rFonts w:ascii="Garamond" w:hAnsi="Garamond"/>
      <w:i/>
      <w:iCs/>
      <w:color w:val="0F4761" w:themeColor="accent1" w:themeShade="BF"/>
    </w:rPr>
  </w:style>
  <w:style w:type="character" w:styleId="IntenseReference">
    <w:name w:val="Intense Reference"/>
    <w:basedOn w:val="DefaultParagraphFont"/>
    <w:uiPriority w:val="32"/>
    <w:qFormat/>
    <w:rsid w:val="000679FE"/>
    <w:rPr>
      <w:b/>
      <w:bCs/>
      <w:smallCaps/>
      <w:color w:val="0F4761" w:themeColor="accent1" w:themeShade="BF"/>
      <w:spacing w:val="5"/>
    </w:rPr>
  </w:style>
  <w:style w:type="character" w:styleId="Hyperlink">
    <w:name w:val="Hyperlink"/>
    <w:basedOn w:val="DefaultParagraphFont"/>
    <w:uiPriority w:val="99"/>
    <w:unhideWhenUsed/>
    <w:rsid w:val="0087086E"/>
    <w:rPr>
      <w:color w:val="467886" w:themeColor="hyperlink"/>
      <w:u w:val="single"/>
    </w:rPr>
  </w:style>
  <w:style w:type="character" w:styleId="UnresolvedMention">
    <w:name w:val="Unresolved Mention"/>
    <w:basedOn w:val="DefaultParagraphFont"/>
    <w:uiPriority w:val="99"/>
    <w:semiHidden/>
    <w:unhideWhenUsed/>
    <w:rsid w:val="0087086E"/>
    <w:rPr>
      <w:color w:val="605E5C"/>
      <w:shd w:val="clear" w:color="auto" w:fill="E1DFDD"/>
    </w:rPr>
  </w:style>
  <w:style w:type="character" w:styleId="FollowedHyperlink">
    <w:name w:val="FollowedHyperlink"/>
    <w:basedOn w:val="DefaultParagraphFont"/>
    <w:uiPriority w:val="99"/>
    <w:semiHidden/>
    <w:unhideWhenUsed/>
    <w:rsid w:val="002175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erio.io/insights/us-data-centers/by-state" TargetMode="External"/><Relationship Id="rId13" Type="http://schemas.openxmlformats.org/officeDocument/2006/relationships/hyperlink" Target="https://emp.lbl.gov/publications/us-state-electricity-resource"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iratewires.com/p/andy-masley-ai-water-crisis-isnt-real" TargetMode="External"/><Relationship Id="rId12" Type="http://schemas.openxmlformats.org/officeDocument/2006/relationships/hyperlink" Target="https://www.epri.com/research/products/000000003002028905"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2.arb.ca.gov/our-work/programs/cap-and-trade-program/auction-information" TargetMode="External"/><Relationship Id="rId1" Type="http://schemas.openxmlformats.org/officeDocument/2006/relationships/numbering" Target="numbering.xml"/><Relationship Id="rId6" Type="http://schemas.openxmlformats.org/officeDocument/2006/relationships/hyperlink" Target="https://www.washingtonpost.com/business/2026/01/06/data-centers-backlash-impact-local-communities-opposition/?utm_campaign=wp_the7&amp;utm_medium=email&amp;utm_source=newsletter&amp;carta-url=https%3A%2F%2Fs2.washingtonpost.com%2Fcar-ln-tr%2F4656ee4%2F695cf6ee3e83ce3f3f657b88%2F5a96dab49bbc0f2c631f7c06%2F52%2F100%2F695cf6ee3e83ce3f3f657b88" TargetMode="External"/><Relationship Id="rId11" Type="http://schemas.openxmlformats.org/officeDocument/2006/relationships/hyperlink" Target="https://www.businessinsider.com/data-center-locations-us-map-ai-boom-2025-9?op=1" TargetMode="External"/><Relationship Id="rId5" Type="http://schemas.openxmlformats.org/officeDocument/2006/relationships/hyperlink" Target="http://www.centerforjobs.org/ca" TargetMode="External"/><Relationship Id="rId15" Type="http://schemas.openxmlformats.org/officeDocument/2006/relationships/image" Target="media/image1.png"/><Relationship Id="rId10" Type="http://schemas.openxmlformats.org/officeDocument/2006/relationships/hyperlink" Target="https://www.datacentermap.com/usa/"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hitachienergy.com/us/en/products-and-solutions/energy-portfolio-management/energy-analytics-software-solutions/energy-market-insights-software-solution" TargetMode="External"/><Relationship Id="rId14" Type="http://schemas.openxmlformats.org/officeDocument/2006/relationships/hyperlink" Target="https://www.eia.gov/electricity/data/eia861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13</Pages>
  <Words>3386</Words>
  <Characters>19302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Kahoe</dc:creator>
  <cp:keywords/>
  <dc:description/>
  <cp:lastModifiedBy>Michael Kahoe</cp:lastModifiedBy>
  <cp:revision>13</cp:revision>
  <dcterms:created xsi:type="dcterms:W3CDTF">2025-12-09T01:45:00Z</dcterms:created>
  <dcterms:modified xsi:type="dcterms:W3CDTF">2026-01-07T06:09:00Z</dcterms:modified>
</cp:coreProperties>
</file>