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4133"/>
        <w:gridCol w:w="2608"/>
        <w:gridCol w:w="2619"/>
        <w:tblGridChange w:id="0">
          <w:tblGrid>
            <w:gridCol w:w="4133"/>
            <w:gridCol w:w="2608"/>
            <w:gridCol w:w="2619"/>
          </w:tblGrid>
        </w:tblGridChange>
      </w:tblGrid>
      <w:tr>
        <w:trPr>
          <w:cantSplit w:val="0"/>
          <w:trHeight w:val="120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jc w:val="center"/>
              <w:rPr>
                <w:rFonts w:ascii="Georgia" w:cs="Georgia" w:eastAsia="Georgia" w:hAnsi="Georgia"/>
                <w:color w:val="53ba2d"/>
                <w:sz w:val="48"/>
                <w:szCs w:val="48"/>
              </w:rPr>
            </w:pPr>
            <w:r w:rsidDel="00000000" w:rsidR="00000000" w:rsidRPr="00000000">
              <w:rPr>
                <w:rFonts w:ascii="Georgia" w:cs="Georgia" w:eastAsia="Georgia" w:hAnsi="Georgia"/>
                <w:color w:val="53ba2d"/>
                <w:sz w:val="48"/>
                <w:szCs w:val="48"/>
                <w:rtl w:val="0"/>
              </w:rPr>
              <w:t xml:space="preserve">California Trade Report</w:t>
            </w:r>
          </w:p>
        </w:tc>
      </w:tr>
      <w:tr>
        <w:trPr>
          <w:cantSplit w:val="0"/>
          <w:trHeight w:val="60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5">
            <w:pPr>
              <w:jc w:val="center"/>
              <w:rPr>
                <w:rFonts w:ascii="Georgia" w:cs="Georgia" w:eastAsia="Georgia" w:hAnsi="Georgia"/>
                <w:color w:val="53ba2d"/>
                <w:sz w:val="48"/>
                <w:szCs w:val="48"/>
              </w:rPr>
            </w:pPr>
            <w:r w:rsidDel="00000000" w:rsidR="00000000" w:rsidRPr="00000000">
              <w:rPr>
                <w:rFonts w:ascii="Georgia" w:cs="Georgia" w:eastAsia="Georgia" w:hAnsi="Georgia"/>
                <w:color w:val="53ba2d"/>
                <w:sz w:val="48"/>
                <w:szCs w:val="48"/>
                <w:rtl w:val="0"/>
              </w:rPr>
              <w:t xml:space="preserve">for December 2025</w:t>
            </w:r>
          </w:p>
        </w:tc>
      </w:tr>
      <w:tr>
        <w:trPr>
          <w:cantSplit w:val="0"/>
          <w:trHeight w:val="57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8">
            <w:pPr>
              <w:jc w:val="center"/>
              <w:rPr>
                <w:rFonts w:ascii="Georgia" w:cs="Georgia" w:eastAsia="Georgia" w:hAnsi="Georgia"/>
                <w:color w:val="53ba2d"/>
                <w:sz w:val="48"/>
                <w:szCs w:val="48"/>
              </w:rPr>
            </w:pPr>
            <w:r w:rsidDel="00000000" w:rsidR="00000000" w:rsidRPr="00000000">
              <w:rPr>
                <w:rtl w:val="0"/>
              </w:rPr>
            </w:r>
          </w:p>
        </w:tc>
      </w:tr>
      <w:tr>
        <w:trPr>
          <w:cantSplit w:val="0"/>
          <w:trHeight w:val="945"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B">
            <w:pPr>
              <w:rPr>
                <w:rFonts w:ascii="Calibri" w:cs="Calibri" w:eastAsia="Calibri" w:hAnsi="Calibri"/>
              </w:rPr>
            </w:pPr>
            <w:hyperlink r:id="rId7">
              <w:r w:rsidDel="00000000" w:rsidR="00000000" w:rsidRPr="00000000">
                <w:rPr>
                  <w:rFonts w:ascii="Calibri" w:cs="Calibri" w:eastAsia="Calibri" w:hAnsi="Calibri"/>
                  <w:rtl w:val="0"/>
                </w:rPr>
                <w:t xml:space="preserve">Below are highlights from the recently released trade data from the US Census Bureau and US Bureau of Economic Analysis. To view additional data and analysis related to the California economy visit our website at www.centerforjobs.org/ca.</w:t>
              </w:r>
            </w:hyperlink>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With the December numbers in, California posted new records for trade through the state’s ports measured in both nominal and real terms.  California, however, remained in second place with 16.3% of total US trade volume, behind Texas with 19.9% and essentially reversing the relative shares held by each at the beginning of the 2000s.</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4011509" cy="2473736"/>
                  <wp:effectExtent b="0" l="0" r="0" t="0"/>
                  <wp:docPr id="182052902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011509" cy="247373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4007659" cy="2466379"/>
                  <wp:effectExtent b="0" l="0" r="0" t="0"/>
                  <wp:docPr id="182052902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007659" cy="2466379"/>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In nominal terms, state exports saw growth in all categories, with non-manufactured commodities (e.g., agriculture) showing the strongest rise.  Re-exports shown in the table are goods produced in other states and countries and assembled by California businesses for final export.  As with total trade, California remained in second place at 8.65% of total US origin exports, behind Texas with a 19.9% share.</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tbl>
            <w:tblPr>
              <w:tblStyle w:val="Table2"/>
              <w:tblW w:w="5790.0" w:type="dxa"/>
              <w:jc w:val="left"/>
              <w:tblInd w:w="15.0" w:type="dxa"/>
              <w:tblLayout w:type="fixed"/>
              <w:tblLook w:val="0400"/>
            </w:tblPr>
            <w:tblGrid>
              <w:gridCol w:w="3465"/>
              <w:gridCol w:w="780"/>
              <w:gridCol w:w="780"/>
              <w:gridCol w:w="765"/>
              <w:tblGridChange w:id="0">
                <w:tblGrid>
                  <w:gridCol w:w="3465"/>
                  <w:gridCol w:w="780"/>
                  <w:gridCol w:w="780"/>
                  <w:gridCol w:w="765"/>
                </w:tblGrid>
              </w:tblGridChange>
            </w:tblGrid>
            <w:tr>
              <w:trPr>
                <w:cantSplit w:val="0"/>
                <w:trHeight w:val="300" w:hRule="atLeast"/>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5">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Goods Exports, Origin of Movement</w:t>
                  </w:r>
                </w:p>
              </w:tc>
            </w:tr>
            <w:tr>
              <w:trPr>
                <w:cantSplit w:val="0"/>
                <w:trHeight w:val="240" w:hRule="atLeast"/>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9">
                  <w:pPr>
                    <w:rPr>
                      <w:rFonts w:ascii="Calibri" w:cs="Calibri" w:eastAsia="Calibri" w:hAnsi="Calibri"/>
                      <w:i w:val="1"/>
                      <w:iCs w:val="1"/>
                      <w:color w:val="000000"/>
                      <w:sz w:val="18"/>
                      <w:szCs w:val="18"/>
                    </w:rPr>
                  </w:pPr>
                  <w:r w:rsidDel="00000000" w:rsidR="00000000" w:rsidRPr="00000000">
                    <w:rPr>
                      <w:rFonts w:ascii="Calibri" w:cs="Calibri" w:eastAsia="Calibri" w:hAnsi="Calibri"/>
                      <w:i w:val="1"/>
                      <w:iCs w:val="1"/>
                      <w:color w:val="000000"/>
                      <w:sz w:val="18"/>
                      <w:szCs w:val="18"/>
                      <w:rtl w:val="0"/>
                    </w:rPr>
                    <w:t xml:space="preserve">Source:  US Census Bureau; $ billion</w:t>
                  </w:r>
                </w:p>
              </w:tc>
            </w:tr>
            <w:tr>
              <w:trPr>
                <w:cantSplit w:val="0"/>
                <w:trHeight w:val="180"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1D">
                  <w:pPr>
                    <w:rPr>
                      <w:rFonts w:ascii="Calibri" w:cs="Calibri" w:eastAsia="Calibri" w:hAnsi="Calibri"/>
                      <w:color w:val="000000"/>
                      <w:sz w:val="10"/>
                      <w:szCs w:val="10"/>
                    </w:rPr>
                  </w:pPr>
                  <w:r w:rsidDel="00000000" w:rsidR="00000000" w:rsidRPr="00000000">
                    <w:rPr>
                      <w:rFonts w:ascii="Calibri" w:cs="Calibri" w:eastAsia="Calibri" w:hAnsi="Calibri"/>
                      <w:color w:val="000000"/>
                      <w:sz w:val="10"/>
                      <w:szCs w:val="10"/>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1E">
                  <w:pPr>
                    <w:rPr>
                      <w:rFonts w:ascii="Calibri" w:cs="Calibri" w:eastAsia="Calibri" w:hAnsi="Calibri"/>
                      <w:color w:val="000000"/>
                      <w:sz w:val="10"/>
                      <w:szCs w:val="10"/>
                    </w:rPr>
                  </w:pPr>
                  <w:r w:rsidDel="00000000" w:rsidR="00000000" w:rsidRPr="00000000">
                    <w:rPr>
                      <w:rFonts w:ascii="Calibri" w:cs="Calibri" w:eastAsia="Calibri" w:hAnsi="Calibri"/>
                      <w:color w:val="000000"/>
                      <w:sz w:val="10"/>
                      <w:szCs w:val="10"/>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1F">
                  <w:pPr>
                    <w:rPr>
                      <w:rFonts w:ascii="Calibri" w:cs="Calibri" w:eastAsia="Calibri" w:hAnsi="Calibri"/>
                      <w:color w:val="000000"/>
                      <w:sz w:val="10"/>
                      <w:szCs w:val="10"/>
                    </w:rPr>
                  </w:pPr>
                  <w:r w:rsidDel="00000000" w:rsidR="00000000" w:rsidRPr="00000000">
                    <w:rPr>
                      <w:rFonts w:ascii="Calibri" w:cs="Calibri" w:eastAsia="Calibri" w:hAnsi="Calibri"/>
                      <w:color w:val="000000"/>
                      <w:sz w:val="10"/>
                      <w:szCs w:val="10"/>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20">
                  <w:pPr>
                    <w:rPr>
                      <w:rFonts w:ascii="Calibri" w:cs="Calibri" w:eastAsia="Calibri" w:hAnsi="Calibri"/>
                      <w:color w:val="000000"/>
                      <w:sz w:val="10"/>
                      <w:szCs w:val="10"/>
                    </w:rPr>
                  </w:pPr>
                  <w:r w:rsidDel="00000000" w:rsidR="00000000" w:rsidRPr="00000000">
                    <w:rPr>
                      <w:rFonts w:ascii="Calibri" w:cs="Calibri" w:eastAsia="Calibri" w:hAnsi="Calibri"/>
                      <w:color w:val="000000"/>
                      <w:sz w:val="10"/>
                      <w:szCs w:val="10"/>
                      <w:rtl w:val="0"/>
                    </w:rPr>
                    <w:t xml:space="preserve"> </w:t>
                  </w:r>
                </w:p>
              </w:tc>
            </w:tr>
            <w:tr>
              <w:trPr>
                <w:cantSplit w:val="0"/>
                <w:trHeight w:val="255"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21">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22">
                  <w:pPr>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2025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23">
                  <w:pPr>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2024</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24">
                  <w:pPr>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Change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5">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Manufactured Commodities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6">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$115.1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7">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8">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Share of US Total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A">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C">
                  <w:pPr>
                    <w:jc w:val="right"/>
                    <w:rPr>
                      <w:rFonts w:ascii="Calibri" w:cs="Calibri" w:eastAsia="Calibri" w:hAnsi="Calibri"/>
                      <w:color w:val="000000"/>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Non-Manufactured Commodities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E">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0">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6.5%</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Share of US Total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2">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4">
                  <w:pPr>
                    <w:jc w:val="right"/>
                    <w:rPr>
                      <w:rFonts w:ascii="Calibri" w:cs="Calibri" w:eastAsia="Calibri" w:hAnsi="Calibri"/>
                      <w:color w:val="000000"/>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Re-exports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6">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$48.9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7">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8">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w:t>
                  </w:r>
                </w:p>
              </w:tc>
            </w:tr>
            <w:tr>
              <w:trPr>
                <w:cantSplit w:val="0"/>
                <w:trHeight w:val="270"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3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Total</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3A">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$188.4</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3B">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$183.3</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3C">
                  <w:pPr>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r>
          </w:tbl>
          <w:p w:rsidR="00000000" w:rsidDel="00000000" w:rsidP="00000000" w:rsidRDefault="00000000" w:rsidRPr="00000000" w14:paraId="0000003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While import prices have recently held steady rather than dropping to accommodate tariff increases, December saw a 0.8% increase over the year for the less volatile imports excluding fuels index.  Export prices continued to climb at essentially the same pace over the past 5 months.</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4019959" cy="2389179"/>
                  <wp:effectExtent b="0" l="0" r="0" t="0"/>
                  <wp:docPr id="182052902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019959" cy="2389179"/>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2">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3974875" cy="2330023"/>
                  <wp:effectExtent b="0" l="0" r="0" t="0"/>
                  <wp:docPr id="182052903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974875" cy="2330023"/>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4">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4048089" cy="2405897"/>
                  <wp:effectExtent b="0" l="0" r="0" t="0"/>
                  <wp:docPr id="182052902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048089" cy="2405897"/>
                          </a:xfrm>
                          <a:prstGeom prst="rect"/>
                          <a:ln/>
                        </pic:spPr>
                      </pic:pic>
                    </a:graphicData>
                  </a:graphic>
                </wp:inline>
              </w:drawing>
            </w:r>
            <w:r w:rsidDel="00000000" w:rsidR="00000000" w:rsidRPr="00000000">
              <w:rPr>
                <w:rtl w:val="0"/>
              </w:rPr>
            </w:r>
          </w:p>
        </w:tc>
      </w:tr>
      <w:tr>
        <w:trPr>
          <w:cantSplit w:val="0"/>
          <w:trHeight w:val="28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9">
            <w:pPr>
              <w:rPr>
                <w:rFonts w:ascii="Times New Roman" w:cs="Times New Roman" w:eastAsia="Times New Roman" w:hAnsi="Times New Roman"/>
                <w:sz w:val="20"/>
                <w:szCs w:val="20"/>
              </w:rPr>
            </w:pPr>
            <w:r w:rsidDel="00000000" w:rsidR="00000000" w:rsidRPr="00000000">
              <w:rPr>
                <w:rtl w:val="0"/>
              </w:rPr>
            </w:r>
          </w:p>
        </w:tc>
      </w:tr>
      <w:tr>
        <w:trPr>
          <w:cantSplit w:val="0"/>
          <w:trHeight w:val="63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rPr>
                <w:rFonts w:ascii="Georgia" w:cs="Georgia" w:eastAsia="Georgia" w:hAnsi="Georgia"/>
                <w:color w:val="212121"/>
                <w:sz w:val="36"/>
                <w:szCs w:val="36"/>
              </w:rPr>
            </w:pPr>
            <w:r w:rsidDel="00000000" w:rsidR="00000000" w:rsidRPr="00000000">
              <w:rPr>
                <w:rFonts w:ascii="Georgia" w:cs="Georgia" w:eastAsia="Georgia" w:hAnsi="Georgia"/>
                <w:color w:val="212121"/>
                <w:sz w:val="36"/>
                <w:szCs w:val="36"/>
                <w:rtl w:val="0"/>
              </w:rPr>
              <w:t xml:space="preserve">Share of Goods through US Ports </w:t>
            </w:r>
          </w:p>
        </w:tc>
      </w:tr>
      <w:tr>
        <w:trPr>
          <w:cantSplit w:val="0"/>
          <w:trHeight w:val="12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D">
            <w:pPr>
              <w:rPr>
                <w:rFonts w:ascii="Georgia" w:cs="Georgia" w:eastAsia="Georgia" w:hAnsi="Georgia"/>
                <w:color w:val="212121"/>
                <w:sz w:val="36"/>
                <w:szCs w:val="36"/>
              </w:rPr>
            </w:pPr>
            <w:r w:rsidDel="00000000" w:rsidR="00000000" w:rsidRPr="00000000">
              <w:rPr>
                <w:rtl w:val="0"/>
              </w:rPr>
            </w:r>
          </w:p>
        </w:tc>
      </w:tr>
      <w:tr>
        <w:trPr>
          <w:cantSplit w:val="0"/>
          <w:trHeight w:val="130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jc w:val="center"/>
              <w:rPr>
                <w:rFonts w:ascii="Arial" w:cs="Arial" w:eastAsia="Arial" w:hAnsi="Arial"/>
                <w:b w:val="1"/>
                <w:bCs w:val="1"/>
                <w:color w:val="4197d6"/>
                <w:sz w:val="63"/>
                <w:szCs w:val="63"/>
              </w:rPr>
            </w:pPr>
            <w:r w:rsidDel="00000000" w:rsidR="00000000" w:rsidRPr="00000000">
              <w:rPr>
                <w:rFonts w:ascii="Arial" w:cs="Arial" w:eastAsia="Arial" w:hAnsi="Arial"/>
                <w:b w:val="1"/>
                <w:bCs w:val="1"/>
                <w:color w:val="ee0000"/>
                <w:sz w:val="63"/>
                <w:szCs w:val="63"/>
                <w:rtl w:val="0"/>
              </w:rPr>
              <w:t xml:space="preserve">16.3%</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rPr>
                <w:rFonts w:ascii="Arial" w:cs="Arial" w:eastAsia="Arial" w:hAnsi="Arial"/>
                <w:color w:val="212121"/>
                <w:sz w:val="23"/>
                <w:szCs w:val="23"/>
              </w:rPr>
            </w:pPr>
            <w:r w:rsidDel="00000000" w:rsidR="00000000" w:rsidRPr="00000000">
              <w:rPr>
                <w:rFonts w:ascii="Arial" w:cs="Arial" w:eastAsia="Arial" w:hAnsi="Arial"/>
                <w:color w:val="212121"/>
                <w:sz w:val="23"/>
                <w:szCs w:val="23"/>
                <w:rtl w:val="0"/>
              </w:rPr>
              <w:t xml:space="preserve">The share of total US goods trade (exports and imports) through California ports continued falling to 16.35% (12 month moving average; compared to 16.3% in November 2025 and 16.73% in December 2024).</w:t>
            </w:r>
          </w:p>
        </w:tc>
      </w:tr>
      <w:tr>
        <w:trPr>
          <w:cantSplit w:val="0"/>
          <w:trHeight w:val="225" w:hRule="atLeast"/>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CA Share of Total Trade</w:t>
              <w:br w:type="textWrapping"/>
              <w:t xml:space="preserve">Through US Ports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jc w:val="center"/>
              <w:rPr>
                <w:rFonts w:ascii="Arial" w:cs="Arial" w:eastAsia="Arial" w:hAnsi="Arial"/>
                <w:color w:val="666666"/>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tl w:val="0"/>
              </w:rPr>
            </w:r>
          </w:p>
        </w:tc>
      </w:tr>
      <w:tr>
        <w:trPr>
          <w:cantSplit w:val="0"/>
          <w:trHeight w:val="2700"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California remained the #2 state, behind Texas which had a 19.91% share (compared to 19.82% in November 2025 and 19.97% in December 2024). Trade through the Atlantic port states was at 30.07% (compared to 30.28% in November 2025 and 29.2% in December 2024). These trade flows form the trade-related base for one of California’s largest centers of middle-class, blue-collar jobs. </w:t>
            </w:r>
          </w:p>
        </w:tc>
      </w:tr>
      <w:tr>
        <w:trPr>
          <w:cantSplit w:val="0"/>
          <w:trHeight w:val="18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rPr>
                <w:rFonts w:ascii="Arial" w:cs="Arial" w:eastAsia="Arial" w:hAnsi="Arial"/>
                <w:color w:val="000000"/>
                <w:sz w:val="23"/>
                <w:szCs w:val="23"/>
              </w:rPr>
            </w:pPr>
            <w:r w:rsidDel="00000000" w:rsidR="00000000" w:rsidRPr="00000000">
              <w:rPr>
                <w:rtl w:val="0"/>
              </w:rPr>
            </w:r>
          </w:p>
        </w:tc>
      </w:tr>
      <w:tr>
        <w:trPr>
          <w:cantSplit w:val="0"/>
          <w:trHeight w:val="63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C">
            <w:pPr>
              <w:rPr>
                <w:rFonts w:ascii="Georgia" w:cs="Georgia" w:eastAsia="Georgia" w:hAnsi="Georgia"/>
                <w:color w:val="212121"/>
                <w:sz w:val="36"/>
                <w:szCs w:val="36"/>
              </w:rPr>
            </w:pPr>
            <w:r w:rsidDel="00000000" w:rsidR="00000000" w:rsidRPr="00000000">
              <w:rPr>
                <w:rFonts w:ascii="Georgia" w:cs="Georgia" w:eastAsia="Georgia" w:hAnsi="Georgia"/>
                <w:color w:val="212121"/>
                <w:sz w:val="36"/>
                <w:szCs w:val="36"/>
                <w:rtl w:val="0"/>
              </w:rPr>
              <w:t xml:space="preserve">California Goods Exports </w:t>
            </w:r>
          </w:p>
        </w:tc>
      </w:tr>
      <w:tr>
        <w:trPr>
          <w:cantSplit w:val="0"/>
          <w:trHeight w:val="8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F">
            <w:pPr>
              <w:jc w:val="center"/>
              <w:rPr>
                <w:rFonts w:ascii="Arial" w:cs="Arial" w:eastAsia="Arial" w:hAnsi="Arial"/>
                <w:b w:val="1"/>
                <w:bCs w:val="1"/>
                <w:color w:val="cb0911"/>
                <w:sz w:val="63"/>
                <w:szCs w:val="63"/>
              </w:rPr>
            </w:pPr>
            <w:r w:rsidDel="00000000" w:rsidR="00000000" w:rsidRPr="00000000">
              <w:rPr>
                <w:rFonts w:ascii="Arial" w:cs="Arial" w:eastAsia="Arial" w:hAnsi="Arial"/>
                <w:b w:val="1"/>
                <w:bCs w:val="1"/>
                <w:color w:val="0f9ed5"/>
                <w:sz w:val="63"/>
                <w:szCs w:val="63"/>
                <w:rtl w:val="0"/>
              </w:rPr>
              <w:t xml:space="preserve">$0.5</w:t>
            </w:r>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Total California origin goods exports were up $0.5 billion from December 2024 (up 3.6%). California remained in 2nd place with 8.65% of all US goods exports (12 month moving total), behind Texas at 20.67%.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2">
            <w:pPr>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Billion Change in Exports </w:t>
            </w:r>
          </w:p>
        </w:tc>
        <w:tc>
          <w:tcPr>
            <w:gridSpan w:val="2"/>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r>
      <w:tr>
        <w:trPr>
          <w:cantSplit w:val="0"/>
          <w:trHeight w:val="300" w:hRule="atLeast"/>
          <w:tblHeader w:val="0"/>
        </w:trPr>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5">
            <w:pPr>
              <w:jc w:val="center"/>
              <w:rPr>
                <w:rFonts w:ascii="Arial" w:cs="Arial" w:eastAsia="Arial" w:hAnsi="Arial"/>
                <w:color w:val="666666"/>
                <w:sz w:val="20"/>
                <w:szCs w:val="20"/>
              </w:rPr>
            </w:pPr>
            <w:r w:rsidDel="00000000" w:rsidR="00000000" w:rsidRPr="00000000">
              <w:rPr>
                <w:rtl w:val="0"/>
              </w:rPr>
            </w:r>
          </w:p>
        </w:tc>
      </w:tr>
      <w:tr>
        <w:trPr>
          <w:cantSplit w:val="0"/>
          <w:trHeight w:val="465"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8">
            <w:pPr>
              <w:rPr>
                <w:rFonts w:ascii="Georgia" w:cs="Georgia" w:eastAsia="Georgia" w:hAnsi="Georgia"/>
                <w:color w:val="212121"/>
                <w:sz w:val="36"/>
                <w:szCs w:val="36"/>
              </w:rPr>
            </w:pPr>
            <w:r w:rsidDel="00000000" w:rsidR="00000000" w:rsidRPr="00000000">
              <w:rPr>
                <w:rFonts w:ascii="Georgia" w:cs="Georgia" w:eastAsia="Georgia" w:hAnsi="Georgia"/>
                <w:color w:val="212121"/>
                <w:sz w:val="36"/>
                <w:szCs w:val="36"/>
                <w:rtl w:val="0"/>
              </w:rPr>
              <w:t xml:space="preserve">California Goods Imports </w:t>
            </w:r>
          </w:p>
        </w:tc>
      </w:tr>
      <w:tr>
        <w:trPr>
          <w:cantSplit w:val="0"/>
          <w:trHeight w:val="73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jc w:val="center"/>
              <w:rPr>
                <w:rFonts w:ascii="Arial" w:cs="Arial" w:eastAsia="Arial" w:hAnsi="Arial"/>
                <w:b w:val="1"/>
                <w:bCs w:val="1"/>
                <w:color w:val="cb0911"/>
                <w:sz w:val="63"/>
                <w:szCs w:val="63"/>
              </w:rPr>
            </w:pPr>
            <w:r w:rsidDel="00000000" w:rsidR="00000000" w:rsidRPr="00000000">
              <w:rPr>
                <w:rFonts w:ascii="Arial" w:cs="Arial" w:eastAsia="Arial" w:hAnsi="Arial"/>
                <w:b w:val="1"/>
                <w:bCs w:val="1"/>
                <w:color w:val="0f9ed5"/>
                <w:sz w:val="63"/>
                <w:szCs w:val="63"/>
                <w:rtl w:val="0"/>
              </w:rPr>
              <w:t xml:space="preserve">$5.0</w:t>
            </w:r>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Total California destination goods imports grew $5 billion from December 2024 (up 11.8%).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E">
            <w:pPr>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Billion Change in Imports </w:t>
            </w:r>
          </w:p>
        </w:tc>
        <w:tc>
          <w:tcPr>
            <w:gridSpan w:val="2"/>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1">
            <w:pPr>
              <w:jc w:val="center"/>
              <w:rPr>
                <w:rFonts w:ascii="Arial" w:cs="Arial" w:eastAsia="Arial" w:hAnsi="Arial"/>
                <w:color w:val="666666"/>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2">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3">
            <w:pPr>
              <w:rPr>
                <w:rFonts w:ascii="Times New Roman" w:cs="Times New Roman" w:eastAsia="Times New Roman" w:hAnsi="Times New Roman"/>
                <w:sz w:val="20"/>
                <w:szCs w:val="20"/>
              </w:rPr>
            </w:pPr>
            <w:r w:rsidDel="00000000" w:rsidR="00000000" w:rsidRPr="00000000">
              <w:rPr>
                <w:rtl w:val="0"/>
              </w:rPr>
            </w:r>
          </w:p>
        </w:tc>
      </w:tr>
      <w:tr>
        <w:trPr>
          <w:cantSplit w:val="0"/>
          <w:trHeight w:val="66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4">
            <w:pPr>
              <w:rPr>
                <w:rFonts w:ascii="Georgia" w:cs="Georgia" w:eastAsia="Georgia" w:hAnsi="Georgia"/>
                <w:color w:val="212121"/>
                <w:sz w:val="36"/>
                <w:szCs w:val="36"/>
              </w:rPr>
            </w:pPr>
            <w:r w:rsidDel="00000000" w:rsidR="00000000" w:rsidRPr="00000000">
              <w:rPr>
                <w:rFonts w:ascii="Georgia" w:cs="Georgia" w:eastAsia="Georgia" w:hAnsi="Georgia"/>
                <w:color w:val="212121"/>
                <w:sz w:val="36"/>
                <w:szCs w:val="36"/>
                <w:rtl w:val="0"/>
              </w:rPr>
              <w:t xml:space="preserve">Top 20 Exports, December 2025</w:t>
            </w:r>
          </w:p>
        </w:tc>
      </w:tr>
      <w:tr>
        <w:trPr>
          <w:cantSplit w:val="0"/>
          <w:trHeight w:val="945" w:hRule="atLeast"/>
          <w:tblHeader w:val="0"/>
        </w:trPr>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7">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Top 20 exports by value are shown below, along with the change from December 2024.</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A">
            <w:pPr>
              <w:rPr>
                <w:rFonts w:ascii="Arial" w:cs="Arial" w:eastAsia="Arial" w:hAnsi="Arial"/>
                <w:color w:val="000000"/>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B">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C">
            <w:pPr>
              <w:rPr>
                <w:rFonts w:ascii="Times New Roman" w:cs="Times New Roman" w:eastAsia="Times New Roman" w:hAnsi="Times New Roman"/>
                <w:sz w:val="20"/>
                <w:szCs w:val="20"/>
              </w:rPr>
            </w:pPr>
            <w:r w:rsidDel="00000000" w:rsidR="00000000" w:rsidRPr="00000000">
              <w:rPr>
                <w:rtl w:val="0"/>
              </w:rPr>
            </w:r>
          </w:p>
        </w:tc>
      </w:tr>
      <w:tr>
        <w:trPr>
          <w:cantSplit w:val="0"/>
          <w:trHeight w:val="31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D">
            <w:pPr>
              <w:rPr>
                <w:rFonts w:ascii="Arial" w:cs="Arial" w:eastAsia="Arial" w:hAnsi="Arial"/>
                <w:b w:val="1"/>
                <w:bCs w:val="1"/>
                <w:color w:val="000000"/>
                <w:sz w:val="23"/>
                <w:szCs w:val="23"/>
              </w:rPr>
            </w:pPr>
            <w:r w:rsidDel="00000000" w:rsidR="00000000" w:rsidRPr="00000000">
              <w:rPr>
                <w:rFonts w:ascii="Arial" w:cs="Arial" w:eastAsia="Arial" w:hAnsi="Arial"/>
                <w:b w:val="1"/>
                <w:bCs w:val="1"/>
                <w:color w:val="000000"/>
                <w:sz w:val="23"/>
                <w:szCs w:val="23"/>
                <w:rtl w:val="0"/>
              </w:rPr>
              <w:t xml:space="preserve">NAICS Commodity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E">
            <w:pPr>
              <w:rPr>
                <w:rFonts w:ascii="Arial" w:cs="Arial" w:eastAsia="Arial" w:hAnsi="Arial"/>
                <w:b w:val="1"/>
                <w:bCs w:val="1"/>
                <w:color w:val="000000"/>
                <w:sz w:val="23"/>
                <w:szCs w:val="23"/>
              </w:rPr>
            </w:pPr>
            <w:r w:rsidDel="00000000" w:rsidR="00000000" w:rsidRPr="00000000">
              <w:rPr>
                <w:rFonts w:ascii="Arial" w:cs="Arial" w:eastAsia="Arial" w:hAnsi="Arial"/>
                <w:b w:val="1"/>
                <w:bCs w:val="1"/>
                <w:color w:val="000000"/>
                <w:sz w:val="23"/>
                <w:szCs w:val="23"/>
                <w:rtl w:val="0"/>
              </w:rPr>
              <w:t xml:space="preserve">Dec 2025 Exports ($b.)</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F">
            <w:pPr>
              <w:rPr>
                <w:rFonts w:ascii="Arial" w:cs="Arial" w:eastAsia="Arial" w:hAnsi="Arial"/>
                <w:b w:val="1"/>
                <w:bCs w:val="1"/>
                <w:color w:val="000000"/>
                <w:sz w:val="23"/>
                <w:szCs w:val="23"/>
              </w:rPr>
            </w:pPr>
            <w:r w:rsidDel="00000000" w:rsidR="00000000" w:rsidRPr="00000000">
              <w:rPr>
                <w:rFonts w:ascii="Arial" w:cs="Arial" w:eastAsia="Arial" w:hAnsi="Arial"/>
                <w:b w:val="1"/>
                <w:bCs w:val="1"/>
                <w:color w:val="000000"/>
                <w:sz w:val="23"/>
                <w:szCs w:val="23"/>
                <w:rtl w:val="0"/>
              </w:rPr>
              <w:t xml:space="preserve">Change from Dec 2024</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0">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Computer Equipment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1">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2">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36.4%</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3">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Fruits &amp; Tree Nuts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4">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5">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36.4%</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6">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Semiconductors &amp; Other Electronic Components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7">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8">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6.8%</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9">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Aerospace Products &amp; Parts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A">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B">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-14.4%</w:t>
            </w:r>
          </w:p>
        </w:tc>
      </w:tr>
      <w:tr>
        <w:trPr>
          <w:cantSplit w:val="0"/>
          <w:trHeight w:val="31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C">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Navigational/measuring/medical/control Instrument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D">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E">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-10.0%</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F">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Pharmaceuticals &amp; Medicines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0">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1">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19.6%</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2">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Communications Equipment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3">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4">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13.6%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5">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Petroleum &amp; Coal Products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6">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7">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21.3%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8">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Medical Equipment &amp; Supplies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9">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A">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2.8%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B">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Electrical Equipment &amp; Components, Nesoi</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C">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D">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-23.9%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E">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Waste &amp; Scrap</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F">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0">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31.2%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1">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Industrial Machinery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2">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3">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-21.7%</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4">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Commercial &amp; Service Industry Machinery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5">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6">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-16.8%</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7">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Miscellaneous Manufactured Commodities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8">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9">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-18.5%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A">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Other General Purpose Machinery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B">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C">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-15.1%</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D">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Foods, Nesoi</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E">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F">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4.1%</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0">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Other Fabricated Metal Products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1">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2">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-9.3%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3">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Motor Vehicle Parts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4">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5">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-3.7%</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6">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Dairy Products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7">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8">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20.8%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9">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Basic Chemicals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A">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0.2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B">
            <w:pPr>
              <w:jc w:val="right"/>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-9.7%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C">
            <w:pPr>
              <w:jc w:val="right"/>
              <w:rPr>
                <w:rFonts w:ascii="Arial" w:cs="Arial" w:eastAsia="Arial" w:hAnsi="Arial"/>
                <w:color w:val="000000"/>
                <w:sz w:val="23"/>
                <w:szCs w:val="2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D">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E">
            <w:pPr>
              <w:rPr>
                <w:rFonts w:ascii="Times New Roman" w:cs="Times New Roman" w:eastAsia="Times New Roman" w:hAnsi="Times New Roman"/>
                <w:sz w:val="20"/>
                <w:szCs w:val="20"/>
              </w:rPr>
            </w:pPr>
            <w:r w:rsidDel="00000000" w:rsidR="00000000" w:rsidRPr="00000000">
              <w:rPr>
                <w:rtl w:val="0"/>
              </w:rPr>
            </w:r>
          </w:p>
        </w:tc>
      </w:tr>
      <w:tr>
        <w:trPr>
          <w:cantSplit w:val="0"/>
          <w:trHeight w:val="345"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rPr>
                <w:rFonts w:ascii="Georgia" w:cs="Georgia" w:eastAsia="Georgia" w:hAnsi="Georgia"/>
                <w:color w:val="212121"/>
                <w:sz w:val="36"/>
                <w:szCs w:val="36"/>
              </w:rPr>
            </w:pPr>
            <w:r w:rsidDel="00000000" w:rsidR="00000000" w:rsidRPr="00000000">
              <w:rPr>
                <w:rFonts w:ascii="Georgia" w:cs="Georgia" w:eastAsia="Georgia" w:hAnsi="Georgia"/>
                <w:color w:val="212121"/>
                <w:sz w:val="36"/>
                <w:szCs w:val="36"/>
                <w:rtl w:val="0"/>
              </w:rPr>
              <w:t xml:space="preserve">Top 10 Export Markets, December 2025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2">
            <w:pPr>
              <w:rPr>
                <w:rFonts w:ascii="Georgia" w:cs="Georgia" w:eastAsia="Georgia" w:hAnsi="Georgia"/>
                <w:color w:val="212121"/>
                <w:sz w:val="36"/>
                <w:szCs w:val="3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3">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4">
            <w:pPr>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6">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Dec 2025 Exports ($b.)</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7">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Change from Dec 2024</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8">
            <w:pPr>
              <w:rPr>
                <w:rFonts w:ascii="Calibri" w:cs="Calibri" w:eastAsia="Calibri" w:hAnsi="Calibri"/>
                <w:color w:val="000000"/>
              </w:rPr>
            </w:pPr>
            <w:r w:rsidDel="00000000" w:rsidR="00000000" w:rsidRPr="00000000">
              <w:rPr>
                <w:rFonts w:ascii="Calibri" w:cs="Calibri" w:eastAsia="Calibri" w:hAnsi="Calibri"/>
                <w:color w:val="000000"/>
                <w:rtl w:val="0"/>
              </w:rPr>
              <w:t xml:space="preserve">Mexico</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9">
            <w:pPr>
              <w:jc w:val="right"/>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A">
            <w:pPr>
              <w:jc w:val="right"/>
              <w:rPr>
                <w:rFonts w:ascii="Arial" w:cs="Arial" w:eastAsia="Arial" w:hAnsi="Arial"/>
                <w:color w:val="000000"/>
              </w:rPr>
            </w:pPr>
            <w:r w:rsidDel="00000000" w:rsidR="00000000" w:rsidRPr="00000000">
              <w:rPr>
                <w:rFonts w:ascii="Arial" w:cs="Arial" w:eastAsia="Arial" w:hAnsi="Arial"/>
                <w:color w:val="000000"/>
                <w:rtl w:val="0"/>
              </w:rPr>
              <w:t xml:space="preserve">1.1%</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B">
            <w:pPr>
              <w:rPr>
                <w:rFonts w:ascii="Calibri" w:cs="Calibri" w:eastAsia="Calibri" w:hAnsi="Calibri"/>
                <w:color w:val="000000"/>
              </w:rPr>
            </w:pPr>
            <w:r w:rsidDel="00000000" w:rsidR="00000000" w:rsidRPr="00000000">
              <w:rPr>
                <w:rFonts w:ascii="Calibri" w:cs="Calibri" w:eastAsia="Calibri" w:hAnsi="Calibri"/>
                <w:color w:val="000000"/>
                <w:rtl w:val="0"/>
              </w:rPr>
              <w:t xml:space="preserve">Canada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C">
            <w:pPr>
              <w:jc w:val="right"/>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D">
            <w:pPr>
              <w:jc w:val="right"/>
              <w:rPr>
                <w:rFonts w:ascii="Arial" w:cs="Arial" w:eastAsia="Arial" w:hAnsi="Arial"/>
                <w:color w:val="000000"/>
              </w:rPr>
            </w:pPr>
            <w:r w:rsidDel="00000000" w:rsidR="00000000" w:rsidRPr="00000000">
              <w:rPr>
                <w:rFonts w:ascii="Arial" w:cs="Arial" w:eastAsia="Arial" w:hAnsi="Arial"/>
                <w:color w:val="000000"/>
                <w:rtl w:val="0"/>
              </w:rPr>
              <w:t xml:space="preserve">-7.2%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E">
            <w:pPr>
              <w:rPr>
                <w:rFonts w:ascii="Calibri" w:cs="Calibri" w:eastAsia="Calibri" w:hAnsi="Calibri"/>
                <w:color w:val="000000"/>
              </w:rPr>
            </w:pPr>
            <w:r w:rsidDel="00000000" w:rsidR="00000000" w:rsidRPr="00000000">
              <w:rPr>
                <w:rFonts w:ascii="Calibri" w:cs="Calibri" w:eastAsia="Calibri" w:hAnsi="Calibri"/>
                <w:color w:val="000000"/>
                <w:rtl w:val="0"/>
              </w:rPr>
              <w:t xml:space="preserve">Taiwan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F">
            <w:pPr>
              <w:jc w:val="right"/>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0">
            <w:pPr>
              <w:jc w:val="right"/>
              <w:rPr>
                <w:rFonts w:ascii="Arial" w:cs="Arial" w:eastAsia="Arial" w:hAnsi="Arial"/>
                <w:color w:val="000000"/>
              </w:rPr>
            </w:pPr>
            <w:r w:rsidDel="00000000" w:rsidR="00000000" w:rsidRPr="00000000">
              <w:rPr>
                <w:rFonts w:ascii="Arial" w:cs="Arial" w:eastAsia="Arial" w:hAnsi="Arial"/>
                <w:color w:val="000000"/>
                <w:rtl w:val="0"/>
              </w:rPr>
              <w:t xml:space="preserve">18.9%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1">
            <w:pPr>
              <w:rPr>
                <w:rFonts w:ascii="Calibri" w:cs="Calibri" w:eastAsia="Calibri" w:hAnsi="Calibri"/>
                <w:color w:val="000000"/>
              </w:rPr>
            </w:pPr>
            <w:r w:rsidDel="00000000" w:rsidR="00000000" w:rsidRPr="00000000">
              <w:rPr>
                <w:rFonts w:ascii="Calibri" w:cs="Calibri" w:eastAsia="Calibri" w:hAnsi="Calibri"/>
                <w:color w:val="000000"/>
                <w:rtl w:val="0"/>
              </w:rPr>
              <w:t xml:space="preserve">Japan</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2">
            <w:pPr>
              <w:jc w:val="right"/>
              <w:rPr>
                <w:rFonts w:ascii="Arial" w:cs="Arial" w:eastAsia="Arial" w:hAnsi="Arial"/>
                <w:color w:val="000000"/>
              </w:rPr>
            </w:pPr>
            <w:r w:rsidDel="00000000" w:rsidR="00000000" w:rsidRPr="00000000">
              <w:rPr>
                <w:rFonts w:ascii="Arial" w:cs="Arial" w:eastAsia="Arial" w:hAnsi="Arial"/>
                <w:color w:val="000000"/>
                <w:rtl w:val="0"/>
              </w:rPr>
              <w:t xml:space="preserve">0.9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3">
            <w:pPr>
              <w:jc w:val="right"/>
              <w:rPr>
                <w:rFonts w:ascii="Arial" w:cs="Arial" w:eastAsia="Arial" w:hAnsi="Arial"/>
                <w:color w:val="000000"/>
              </w:rPr>
            </w:pPr>
            <w:r w:rsidDel="00000000" w:rsidR="00000000" w:rsidRPr="00000000">
              <w:rPr>
                <w:rFonts w:ascii="Arial" w:cs="Arial" w:eastAsia="Arial" w:hAnsi="Arial"/>
                <w:color w:val="000000"/>
                <w:rtl w:val="0"/>
              </w:rPr>
              <w:t xml:space="preserve">-5.2%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4">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China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5">
            <w:pPr>
              <w:jc w:val="right"/>
              <w:rPr>
                <w:rFonts w:ascii="Arial" w:cs="Arial" w:eastAsia="Arial" w:hAnsi="Arial"/>
                <w:color w:val="000000"/>
              </w:rPr>
            </w:pPr>
            <w:r w:rsidDel="00000000" w:rsidR="00000000" w:rsidRPr="00000000">
              <w:rPr>
                <w:rFonts w:ascii="Arial" w:cs="Arial" w:eastAsia="Arial" w:hAnsi="Arial"/>
                <w:color w:val="000000"/>
                <w:rtl w:val="0"/>
              </w:rPr>
              <w:t xml:space="preserve">0.9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6">
            <w:pPr>
              <w:jc w:val="right"/>
              <w:rPr>
                <w:rFonts w:ascii="Arial" w:cs="Arial" w:eastAsia="Arial" w:hAnsi="Arial"/>
                <w:color w:val="000000"/>
              </w:rPr>
            </w:pPr>
            <w:r w:rsidDel="00000000" w:rsidR="00000000" w:rsidRPr="00000000">
              <w:rPr>
                <w:rFonts w:ascii="Arial" w:cs="Arial" w:eastAsia="Arial" w:hAnsi="Arial"/>
                <w:color w:val="000000"/>
                <w:rtl w:val="0"/>
              </w:rPr>
              <w:t xml:space="preserve">-26.0%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7">
            <w:pPr>
              <w:rPr>
                <w:rFonts w:ascii="Calibri" w:cs="Calibri" w:eastAsia="Calibri" w:hAnsi="Calibri"/>
                <w:color w:val="000000"/>
              </w:rPr>
            </w:pPr>
            <w:r w:rsidDel="00000000" w:rsidR="00000000" w:rsidRPr="00000000">
              <w:rPr>
                <w:rFonts w:ascii="Calibri" w:cs="Calibri" w:eastAsia="Calibri" w:hAnsi="Calibri"/>
                <w:color w:val="000000"/>
                <w:rtl w:val="0"/>
              </w:rPr>
              <w:t xml:space="preserve">Korea, South</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8">
            <w:pPr>
              <w:jc w:val="right"/>
              <w:rPr>
                <w:rFonts w:ascii="Arial" w:cs="Arial" w:eastAsia="Arial" w:hAnsi="Arial"/>
                <w:color w:val="000000"/>
              </w:rPr>
            </w:pPr>
            <w:r w:rsidDel="00000000" w:rsidR="00000000" w:rsidRPr="00000000">
              <w:rPr>
                <w:rFonts w:ascii="Arial" w:cs="Arial" w:eastAsia="Arial" w:hAnsi="Arial"/>
                <w:color w:val="000000"/>
                <w:rtl w:val="0"/>
              </w:rPr>
              <w:t xml:space="preserve">0.8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9">
            <w:pPr>
              <w:jc w:val="right"/>
              <w:rPr>
                <w:rFonts w:ascii="Arial" w:cs="Arial" w:eastAsia="Arial" w:hAnsi="Arial"/>
                <w:color w:val="000000"/>
              </w:rPr>
            </w:pPr>
            <w:r w:rsidDel="00000000" w:rsidR="00000000" w:rsidRPr="00000000">
              <w:rPr>
                <w:rFonts w:ascii="Arial" w:cs="Arial" w:eastAsia="Arial" w:hAnsi="Arial"/>
                <w:color w:val="000000"/>
                <w:rtl w:val="0"/>
              </w:rPr>
              <w:t xml:space="preserve">5.9%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A">
            <w:pPr>
              <w:rPr>
                <w:rFonts w:ascii="Calibri" w:cs="Calibri" w:eastAsia="Calibri" w:hAnsi="Calibri"/>
                <w:color w:val="000000"/>
              </w:rPr>
            </w:pPr>
            <w:r w:rsidDel="00000000" w:rsidR="00000000" w:rsidRPr="00000000">
              <w:rPr>
                <w:rFonts w:ascii="Calibri" w:cs="Calibri" w:eastAsia="Calibri" w:hAnsi="Calibri"/>
                <w:color w:val="000000"/>
                <w:rtl w:val="0"/>
              </w:rPr>
              <w:t xml:space="preserve">Netherlands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B">
            <w:pPr>
              <w:jc w:val="right"/>
              <w:rPr>
                <w:rFonts w:ascii="Arial" w:cs="Arial" w:eastAsia="Arial" w:hAnsi="Arial"/>
                <w:color w:val="000000"/>
              </w:rPr>
            </w:pPr>
            <w:r w:rsidDel="00000000" w:rsidR="00000000" w:rsidRPr="00000000">
              <w:rPr>
                <w:rFonts w:ascii="Arial" w:cs="Arial" w:eastAsia="Arial" w:hAnsi="Arial"/>
                <w:color w:val="000000"/>
                <w:rtl w:val="0"/>
              </w:rPr>
              <w:t xml:space="preserve">0.7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C">
            <w:pPr>
              <w:jc w:val="right"/>
              <w:rPr>
                <w:rFonts w:ascii="Arial" w:cs="Arial" w:eastAsia="Arial" w:hAnsi="Arial"/>
                <w:color w:val="000000"/>
              </w:rPr>
            </w:pPr>
            <w:r w:rsidDel="00000000" w:rsidR="00000000" w:rsidRPr="00000000">
              <w:rPr>
                <w:rFonts w:ascii="Arial" w:cs="Arial" w:eastAsia="Arial" w:hAnsi="Arial"/>
                <w:color w:val="000000"/>
                <w:rtl w:val="0"/>
              </w:rPr>
              <w:t xml:space="preserve">10.7%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D">
            <w:pPr>
              <w:rPr>
                <w:rFonts w:ascii="Calibri" w:cs="Calibri" w:eastAsia="Calibri" w:hAnsi="Calibri"/>
                <w:color w:val="000000"/>
              </w:rPr>
            </w:pPr>
            <w:r w:rsidDel="00000000" w:rsidR="00000000" w:rsidRPr="00000000">
              <w:rPr>
                <w:rFonts w:ascii="Calibri" w:cs="Calibri" w:eastAsia="Calibri" w:hAnsi="Calibri"/>
                <w:color w:val="000000"/>
                <w:rtl w:val="0"/>
              </w:rPr>
              <w:t xml:space="preserve">Germany</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E">
            <w:pPr>
              <w:jc w:val="right"/>
              <w:rPr>
                <w:rFonts w:ascii="Arial" w:cs="Arial" w:eastAsia="Arial" w:hAnsi="Arial"/>
                <w:color w:val="000000"/>
              </w:rPr>
            </w:pPr>
            <w:r w:rsidDel="00000000" w:rsidR="00000000" w:rsidRPr="00000000">
              <w:rPr>
                <w:rFonts w:ascii="Arial" w:cs="Arial" w:eastAsia="Arial" w:hAnsi="Arial"/>
                <w:color w:val="000000"/>
                <w:rtl w:val="0"/>
              </w:rPr>
              <w:t xml:space="preserve">0.5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F">
            <w:pPr>
              <w:jc w:val="right"/>
              <w:rPr>
                <w:rFonts w:ascii="Arial" w:cs="Arial" w:eastAsia="Arial" w:hAnsi="Arial"/>
                <w:color w:val="000000"/>
              </w:rPr>
            </w:pPr>
            <w:r w:rsidDel="00000000" w:rsidR="00000000" w:rsidRPr="00000000">
              <w:rPr>
                <w:rFonts w:ascii="Arial" w:cs="Arial" w:eastAsia="Arial" w:hAnsi="Arial"/>
                <w:color w:val="000000"/>
                <w:rtl w:val="0"/>
              </w:rPr>
              <w:t xml:space="preserve">13.2%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0">
            <w:pPr>
              <w:rPr>
                <w:rFonts w:ascii="Calibri" w:cs="Calibri" w:eastAsia="Calibri" w:hAnsi="Calibri"/>
                <w:color w:val="000000"/>
              </w:rPr>
            </w:pPr>
            <w:r w:rsidDel="00000000" w:rsidR="00000000" w:rsidRPr="00000000">
              <w:rPr>
                <w:rFonts w:ascii="Calibri" w:cs="Calibri" w:eastAsia="Calibri" w:hAnsi="Calibri"/>
                <w:color w:val="000000"/>
                <w:rtl w:val="0"/>
              </w:rPr>
              <w:t xml:space="preserve">Australia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1">
            <w:pPr>
              <w:jc w:val="right"/>
              <w:rPr>
                <w:rFonts w:ascii="Arial" w:cs="Arial" w:eastAsia="Arial" w:hAnsi="Arial"/>
                <w:color w:val="000000"/>
              </w:rPr>
            </w:pPr>
            <w:r w:rsidDel="00000000" w:rsidR="00000000" w:rsidRPr="00000000">
              <w:rPr>
                <w:rFonts w:ascii="Arial" w:cs="Arial" w:eastAsia="Arial" w:hAnsi="Arial"/>
                <w:color w:val="000000"/>
                <w:rtl w:val="0"/>
              </w:rPr>
              <w:t xml:space="preserve">0.5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2">
            <w:pPr>
              <w:jc w:val="right"/>
              <w:rPr>
                <w:rFonts w:ascii="Arial" w:cs="Arial" w:eastAsia="Arial" w:hAnsi="Arial"/>
                <w:color w:val="000000"/>
              </w:rPr>
            </w:pPr>
            <w:r w:rsidDel="00000000" w:rsidR="00000000" w:rsidRPr="00000000">
              <w:rPr>
                <w:rFonts w:ascii="Arial" w:cs="Arial" w:eastAsia="Arial" w:hAnsi="Arial"/>
                <w:color w:val="000000"/>
                <w:rtl w:val="0"/>
              </w:rPr>
              <w:t xml:space="preserve">21.9%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3">
            <w:pPr>
              <w:rPr>
                <w:rFonts w:ascii="Calibri" w:cs="Calibri" w:eastAsia="Calibri" w:hAnsi="Calibri"/>
                <w:color w:val="000000"/>
              </w:rPr>
            </w:pPr>
            <w:r w:rsidDel="00000000" w:rsidR="00000000" w:rsidRPr="00000000">
              <w:rPr>
                <w:rFonts w:ascii="Calibri" w:cs="Calibri" w:eastAsia="Calibri" w:hAnsi="Calibri"/>
                <w:color w:val="000000"/>
                <w:rtl w:val="0"/>
              </w:rPr>
              <w:t xml:space="preserve">Singapore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4">
            <w:pPr>
              <w:jc w:val="right"/>
              <w:rPr>
                <w:rFonts w:ascii="Arial" w:cs="Arial" w:eastAsia="Arial" w:hAnsi="Arial"/>
                <w:color w:val="000000"/>
              </w:rPr>
            </w:pPr>
            <w:r w:rsidDel="00000000" w:rsidR="00000000" w:rsidRPr="00000000">
              <w:rPr>
                <w:rFonts w:ascii="Arial" w:cs="Arial" w:eastAsia="Arial" w:hAnsi="Arial"/>
                <w:color w:val="000000"/>
                <w:rtl w:val="0"/>
              </w:rPr>
              <w:t xml:space="preserve">0.5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5">
            <w:pPr>
              <w:jc w:val="right"/>
              <w:rPr>
                <w:rFonts w:ascii="Arial" w:cs="Arial" w:eastAsia="Arial" w:hAnsi="Arial"/>
                <w:color w:val="000000"/>
              </w:rPr>
            </w:pPr>
            <w:r w:rsidDel="00000000" w:rsidR="00000000" w:rsidRPr="00000000">
              <w:rPr>
                <w:rFonts w:ascii="Arial" w:cs="Arial" w:eastAsia="Arial" w:hAnsi="Arial"/>
                <w:color w:val="000000"/>
                <w:rtl w:val="0"/>
              </w:rPr>
              <w:t xml:space="preserve">11.3%</w:t>
            </w:r>
          </w:p>
        </w:tc>
      </w:tr>
    </w:tbl>
    <w:p w:rsidR="00000000" w:rsidDel="00000000" w:rsidP="00000000" w:rsidRDefault="00000000" w:rsidRPr="00000000" w14:paraId="000000E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Aptos"/>
  <w:font w:name="Play">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b w:val="1"/>
      <w:bCs w:val="1"/>
      <w:sz w:val="40"/>
      <w:szCs w:val="40"/>
    </w:rPr>
  </w:style>
  <w:style w:type="paragraph" w:styleId="Heading2">
    <w:name w:val="heading 2"/>
    <w:basedOn w:val="Normal"/>
    <w:next w:val="Normal"/>
    <w:pPr>
      <w:keepNext w:val="1"/>
      <w:keepLines w:val="1"/>
    </w:pPr>
    <w:rPr>
      <w:b w:val="1"/>
      <w:bCs w:val="1"/>
      <w:sz w:val="28"/>
      <w:szCs w:val="28"/>
    </w:rPr>
  </w:style>
  <w:style w:type="paragraph" w:styleId="Heading3">
    <w:name w:val="heading 3"/>
    <w:basedOn w:val="Normal"/>
    <w:next w:val="Normal"/>
    <w:pPr/>
    <w:rPr>
      <w:b w:val="1"/>
      <w:bCs w:val="1"/>
      <w:u w:val="single"/>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E508A"/>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1E508A"/>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E508A"/>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ption">
    <w:name w:val="caption"/>
    <w:basedOn w:val="Normal"/>
    <w:next w:val="Normal"/>
    <w:uiPriority w:val="35"/>
    <w:unhideWhenUsed w:val="1"/>
    <w:qFormat w:val="1"/>
    <w:rsid w:val="00596941"/>
    <w:rPr>
      <w:i w:val="1"/>
      <w:iCs w:val="1"/>
      <w:color w:val="0e2841" w:themeColor="text2"/>
      <w:kern w:val="0"/>
      <w:szCs w:val="18"/>
    </w:rPr>
  </w:style>
  <w:style w:type="character" w:styleId="Heading1Char" w:customStyle="1">
    <w:name w:val="Heading 1 Char"/>
    <w:basedOn w:val="DefaultParagraphFont"/>
    <w:link w:val="Heading1"/>
    <w:uiPriority w:val="9"/>
    <w:rsid w:val="00BC140C"/>
    <w:rPr>
      <w:rFonts w:ascii="Garamond" w:hAnsi="Garamond" w:cstheme="majorBidi" w:eastAsiaTheme="majorEastAsia"/>
      <w:b w:val="1"/>
      <w:sz w:val="40"/>
      <w:szCs w:val="40"/>
    </w:rPr>
  </w:style>
  <w:style w:type="character" w:styleId="Heading2Char" w:customStyle="1">
    <w:name w:val="Heading 2 Char"/>
    <w:basedOn w:val="DefaultParagraphFont"/>
    <w:link w:val="Heading2"/>
    <w:uiPriority w:val="9"/>
    <w:rsid w:val="005D246E"/>
    <w:rPr>
      <w:rFonts w:ascii="Garamond" w:hAnsi="Garamond" w:cstheme="majorBidi" w:eastAsiaTheme="majorEastAsia"/>
      <w:b w:val="1"/>
      <w:bCs w:val="1"/>
      <w:sz w:val="28"/>
      <w:szCs w:val="28"/>
    </w:rPr>
  </w:style>
  <w:style w:type="character" w:styleId="Heading3Char" w:customStyle="1">
    <w:name w:val="Heading 3 Char"/>
    <w:basedOn w:val="DefaultParagraphFont"/>
    <w:link w:val="Heading3"/>
    <w:uiPriority w:val="9"/>
    <w:rsid w:val="00BC140C"/>
    <w:rPr>
      <w:rFonts w:ascii="Garamond" w:hAnsi="Garamond"/>
      <w:b w:val="1"/>
      <w:bCs w:val="1"/>
      <w:u w:val="single"/>
    </w:rPr>
  </w:style>
  <w:style w:type="character" w:styleId="Heading4Char" w:customStyle="1">
    <w:name w:val="Heading 4 Char"/>
    <w:basedOn w:val="DefaultParagraphFont"/>
    <w:link w:val="Heading4"/>
    <w:uiPriority w:val="9"/>
    <w:semiHidden w:val="1"/>
    <w:rsid w:val="001E508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E508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E508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E508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E508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E508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E508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E508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E508A"/>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1E508A"/>
    <w:rPr>
      <w:rFonts w:ascii="Garamond" w:hAnsi="Garamond"/>
      <w:i w:val="1"/>
      <w:iCs w:val="1"/>
      <w:color w:val="404040" w:themeColor="text1" w:themeTint="0000BF"/>
    </w:rPr>
  </w:style>
  <w:style w:type="paragraph" w:styleId="ListParagraph">
    <w:name w:val="List Paragraph"/>
    <w:basedOn w:val="Normal"/>
    <w:uiPriority w:val="34"/>
    <w:qFormat w:val="1"/>
    <w:rsid w:val="001E508A"/>
    <w:pPr>
      <w:ind w:left="720"/>
      <w:contextualSpacing w:val="1"/>
    </w:pPr>
  </w:style>
  <w:style w:type="character" w:styleId="IntenseEmphasis">
    <w:name w:val="Intense Emphasis"/>
    <w:basedOn w:val="DefaultParagraphFont"/>
    <w:uiPriority w:val="21"/>
    <w:qFormat w:val="1"/>
    <w:rsid w:val="001E508A"/>
    <w:rPr>
      <w:i w:val="1"/>
      <w:iCs w:val="1"/>
      <w:color w:val="0f4761" w:themeColor="accent1" w:themeShade="0000BF"/>
    </w:rPr>
  </w:style>
  <w:style w:type="paragraph" w:styleId="IntenseQuote">
    <w:name w:val="Intense Quote"/>
    <w:basedOn w:val="Normal"/>
    <w:next w:val="Normal"/>
    <w:link w:val="IntenseQuoteChar"/>
    <w:uiPriority w:val="30"/>
    <w:qFormat w:val="1"/>
    <w:rsid w:val="001E508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E508A"/>
    <w:rPr>
      <w:rFonts w:ascii="Garamond" w:hAnsi="Garamond"/>
      <w:i w:val="1"/>
      <w:iCs w:val="1"/>
      <w:color w:val="0f4761" w:themeColor="accent1" w:themeShade="0000BF"/>
    </w:rPr>
  </w:style>
  <w:style w:type="character" w:styleId="IntenseReference">
    <w:name w:val="Intense Reference"/>
    <w:basedOn w:val="DefaultParagraphFont"/>
    <w:uiPriority w:val="32"/>
    <w:qFormat w:val="1"/>
    <w:rsid w:val="001E508A"/>
    <w:rPr>
      <w:b w:val="1"/>
      <w:bCs w:val="1"/>
      <w:smallCaps w:val="1"/>
      <w:color w:val="0f4761" w:themeColor="accent1" w:themeShade="0000BF"/>
      <w:spacing w:val="5"/>
    </w:rPr>
  </w:style>
  <w:style w:type="character" w:styleId="Hyperlink">
    <w:name w:val="Hyperlink"/>
    <w:basedOn w:val="DefaultParagraphFont"/>
    <w:uiPriority w:val="99"/>
    <w:semiHidden w:val="1"/>
    <w:unhideWhenUsed w:val="1"/>
    <w:rsid w:val="00005CAF"/>
    <w:rPr>
      <w:color w:val="0000ff"/>
      <w:u w:val="single"/>
    </w:r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4.png"/><Relationship Id="rId12"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brtcfj.cmail19.com/t/j-l-oldtljl-udtueluu-h/" TargetMode="Externa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5" Type="http://schemas.openxmlformats.org/officeDocument/2006/relationships/font" Target="fonts/Garamond-italic.ttf"/><Relationship Id="rId6"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z/J80KnfKraG8JWwo7DXKltg==">CgMxLjA4AHIhMUI3a21lNVVEa3R3emtoTXRTR19DVng1Nnc2Zk5mNmlT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2026-02-19T20:39:00Z</dcterms:created>
  <dc:creator>Michael Kahoe</dc:creator>
</cp:coreProperties>
</file>