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130"/>
        <w:gridCol w:w="2609"/>
        <w:gridCol w:w="2621"/>
      </w:tblGrid>
      <w:tr w:rsidR="00CF6DBB" w:rsidRPr="00CF6DBB" w14:paraId="1E2D7AC4" w14:textId="77777777" w:rsidTr="00CF6DBB">
        <w:trPr>
          <w:trHeight w:val="1200"/>
        </w:trPr>
        <w:tc>
          <w:tcPr>
            <w:tcW w:w="5000" w:type="pct"/>
            <w:gridSpan w:val="3"/>
            <w:tcBorders>
              <w:top w:val="nil"/>
              <w:left w:val="nil"/>
              <w:bottom w:val="nil"/>
              <w:right w:val="nil"/>
            </w:tcBorders>
            <w:vAlign w:val="center"/>
            <w:hideMark/>
          </w:tcPr>
          <w:p w14:paraId="66993259" w14:textId="77777777" w:rsidR="00CF6DBB" w:rsidRPr="00CF6DBB" w:rsidRDefault="00CF6DBB" w:rsidP="00CF6DBB">
            <w:pPr>
              <w:jc w:val="center"/>
              <w:rPr>
                <w:rFonts w:ascii="Georgia" w:eastAsia="Times New Roman" w:hAnsi="Georgia" w:cs="Calibri"/>
                <w:color w:val="53BA2D"/>
                <w:kern w:val="0"/>
                <w:sz w:val="48"/>
                <w:szCs w:val="48"/>
                <w14:ligatures w14:val="none"/>
              </w:rPr>
            </w:pPr>
            <w:r w:rsidRPr="00CF6DBB">
              <w:rPr>
                <w:rFonts w:ascii="Georgia" w:eastAsia="Times New Roman" w:hAnsi="Georgia" w:cs="Calibri"/>
                <w:color w:val="53BA2D"/>
                <w:kern w:val="0"/>
                <w:sz w:val="48"/>
                <w:szCs w:val="48"/>
                <w14:ligatures w14:val="none"/>
              </w:rPr>
              <w:t>California Trade Report</w:t>
            </w:r>
          </w:p>
        </w:tc>
      </w:tr>
      <w:tr w:rsidR="00CF6DBB" w:rsidRPr="00CF6DBB" w14:paraId="077CC3DD" w14:textId="77777777" w:rsidTr="00CF6DBB">
        <w:trPr>
          <w:trHeight w:val="600"/>
        </w:trPr>
        <w:tc>
          <w:tcPr>
            <w:tcW w:w="5000" w:type="pct"/>
            <w:gridSpan w:val="3"/>
            <w:tcBorders>
              <w:top w:val="nil"/>
              <w:left w:val="nil"/>
              <w:bottom w:val="nil"/>
              <w:right w:val="nil"/>
            </w:tcBorders>
            <w:vAlign w:val="center"/>
            <w:hideMark/>
          </w:tcPr>
          <w:p w14:paraId="51CB8366" w14:textId="77777777" w:rsidR="00CF6DBB" w:rsidRPr="00CF6DBB" w:rsidRDefault="00CF6DBB" w:rsidP="00CF6DBB">
            <w:pPr>
              <w:jc w:val="center"/>
              <w:rPr>
                <w:rFonts w:ascii="Georgia" w:eastAsia="Times New Roman" w:hAnsi="Georgia" w:cs="Calibri"/>
                <w:color w:val="53BA2D"/>
                <w:kern w:val="0"/>
                <w:sz w:val="48"/>
                <w:szCs w:val="48"/>
                <w14:ligatures w14:val="none"/>
              </w:rPr>
            </w:pPr>
            <w:r w:rsidRPr="00CF6DBB">
              <w:rPr>
                <w:rFonts w:ascii="Georgia" w:eastAsia="Times New Roman" w:hAnsi="Georgia" w:cs="Calibri"/>
                <w:color w:val="53BA2D"/>
                <w:kern w:val="0"/>
                <w:sz w:val="48"/>
                <w:szCs w:val="48"/>
                <w14:ligatures w14:val="none"/>
              </w:rPr>
              <w:t>for March 2026</w:t>
            </w:r>
          </w:p>
        </w:tc>
      </w:tr>
      <w:tr w:rsidR="00CF6DBB" w:rsidRPr="00CF6DBB" w14:paraId="41709622" w14:textId="77777777" w:rsidTr="00CF6DBB">
        <w:trPr>
          <w:trHeight w:val="570"/>
        </w:trPr>
        <w:tc>
          <w:tcPr>
            <w:tcW w:w="5000" w:type="pct"/>
            <w:gridSpan w:val="3"/>
            <w:tcBorders>
              <w:top w:val="nil"/>
              <w:left w:val="nil"/>
              <w:bottom w:val="nil"/>
              <w:right w:val="nil"/>
            </w:tcBorders>
            <w:vAlign w:val="center"/>
            <w:hideMark/>
          </w:tcPr>
          <w:p w14:paraId="5872A6A9" w14:textId="77777777" w:rsidR="00CF6DBB" w:rsidRPr="00CF6DBB" w:rsidRDefault="00CF6DBB" w:rsidP="00CF6DBB">
            <w:pPr>
              <w:jc w:val="center"/>
              <w:rPr>
                <w:rFonts w:ascii="Georgia" w:eastAsia="Times New Roman" w:hAnsi="Georgia" w:cs="Calibri"/>
                <w:color w:val="53BA2D"/>
                <w:kern w:val="0"/>
                <w:sz w:val="48"/>
                <w:szCs w:val="48"/>
                <w14:ligatures w14:val="none"/>
              </w:rPr>
            </w:pPr>
          </w:p>
        </w:tc>
      </w:tr>
      <w:tr w:rsidR="00CF6DBB" w:rsidRPr="00CF6DBB" w14:paraId="04A319BC" w14:textId="77777777" w:rsidTr="00CF6DBB">
        <w:trPr>
          <w:trHeight w:val="945"/>
        </w:trPr>
        <w:tc>
          <w:tcPr>
            <w:tcW w:w="5000" w:type="pct"/>
            <w:gridSpan w:val="3"/>
            <w:tcBorders>
              <w:top w:val="nil"/>
              <w:left w:val="nil"/>
              <w:bottom w:val="nil"/>
              <w:right w:val="nil"/>
            </w:tcBorders>
            <w:vAlign w:val="center"/>
            <w:hideMark/>
          </w:tcPr>
          <w:p w14:paraId="642D6EF0" w14:textId="77777777" w:rsidR="00CF6DBB" w:rsidRDefault="00CF6DBB" w:rsidP="00CF6DBB">
            <w:pPr>
              <w:rPr>
                <w:rFonts w:ascii="Calibri" w:eastAsia="Times New Roman" w:hAnsi="Calibri" w:cs="Calibri"/>
                <w:kern w:val="0"/>
                <w14:ligatures w14:val="none"/>
              </w:rPr>
            </w:pPr>
            <w:hyperlink r:id="rId4" w:history="1">
              <w:r w:rsidRPr="00CF6DBB">
                <w:rPr>
                  <w:rFonts w:ascii="Calibri" w:eastAsia="Times New Roman" w:hAnsi="Calibri" w:cs="Calibri"/>
                  <w:kern w:val="0"/>
                  <w14:ligatures w14:val="none"/>
                </w:rPr>
                <w:t>Below are highlights from the recently released trade data from the US Census Bureau and US Bureau of Economic Analysis. To view additional data and analysis related to the California economy visit our website at www.centerforjobs.org/ca.</w:t>
              </w:r>
            </w:hyperlink>
          </w:p>
          <w:p w14:paraId="00B0D233" w14:textId="77777777" w:rsidR="00CF6DBB" w:rsidRDefault="00CF6DBB" w:rsidP="00CF6DBB">
            <w:pPr>
              <w:rPr>
                <w:rFonts w:ascii="Calibri" w:eastAsia="Times New Roman" w:hAnsi="Calibri" w:cs="Calibri"/>
                <w:kern w:val="0"/>
                <w14:ligatures w14:val="none"/>
              </w:rPr>
            </w:pPr>
          </w:p>
          <w:p w14:paraId="0C1CAC79" w14:textId="5CFDED5F" w:rsidR="00CF6DBB" w:rsidRDefault="00CF6DBB" w:rsidP="00CF6DBB">
            <w:pPr>
              <w:rPr>
                <w:rFonts w:ascii="Calibri" w:eastAsia="Times New Roman" w:hAnsi="Calibri" w:cs="Calibri"/>
                <w:kern w:val="0"/>
                <w14:ligatures w14:val="none"/>
              </w:rPr>
            </w:pPr>
            <w:r>
              <w:rPr>
                <w:rFonts w:ascii="Calibri" w:eastAsia="Times New Roman" w:hAnsi="Calibri" w:cs="Calibri"/>
                <w:kern w:val="0"/>
                <w14:ligatures w14:val="none"/>
              </w:rPr>
              <w:t>Total trade through the state’s ports in the first quarter was little changed compared to the same period in 2025 in both nominal and real terms, but also remaining well ahead of trade flows in the prior years.</w:t>
            </w:r>
          </w:p>
          <w:p w14:paraId="399C5AD5" w14:textId="77777777" w:rsidR="00CF6DBB" w:rsidRDefault="00CF6DBB" w:rsidP="00CF6DBB">
            <w:pPr>
              <w:rPr>
                <w:rFonts w:ascii="Calibri" w:eastAsia="Times New Roman" w:hAnsi="Calibri" w:cs="Calibri"/>
                <w:kern w:val="0"/>
                <w14:ligatures w14:val="none"/>
              </w:rPr>
            </w:pPr>
          </w:p>
          <w:p w14:paraId="6D741C04" w14:textId="107C0338" w:rsidR="00CF6DBB" w:rsidRDefault="00CF6DBB" w:rsidP="00CF6DBB">
            <w:pPr>
              <w:jc w:val="center"/>
              <w:rPr>
                <w:rFonts w:ascii="Calibri" w:eastAsia="Times New Roman" w:hAnsi="Calibri" w:cs="Calibri"/>
                <w:kern w:val="0"/>
                <w14:ligatures w14:val="none"/>
              </w:rPr>
            </w:pPr>
            <w:r>
              <w:rPr>
                <w:rFonts w:ascii="Calibri" w:eastAsia="Times New Roman" w:hAnsi="Calibri" w:cs="Calibri"/>
                <w:noProof/>
                <w:kern w:val="0"/>
                <w14:ligatures w14:val="none"/>
              </w:rPr>
              <w:drawing>
                <wp:inline distT="0" distB="0" distL="0" distR="0" wp14:anchorId="52632879" wp14:editId="61CE652C">
                  <wp:extent cx="3968466" cy="2447193"/>
                  <wp:effectExtent l="0" t="0" r="0" b="0"/>
                  <wp:docPr id="10505637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5323" cy="2457588"/>
                          </a:xfrm>
                          <a:prstGeom prst="rect">
                            <a:avLst/>
                          </a:prstGeom>
                          <a:noFill/>
                        </pic:spPr>
                      </pic:pic>
                    </a:graphicData>
                  </a:graphic>
                </wp:inline>
              </w:drawing>
            </w:r>
          </w:p>
          <w:p w14:paraId="4E1A53E0" w14:textId="77777777" w:rsidR="00CF6DBB" w:rsidRDefault="00CF6DBB" w:rsidP="00CF6DBB">
            <w:pPr>
              <w:rPr>
                <w:rFonts w:ascii="Calibri" w:eastAsia="Times New Roman" w:hAnsi="Calibri" w:cs="Calibri"/>
                <w:kern w:val="0"/>
                <w14:ligatures w14:val="none"/>
              </w:rPr>
            </w:pPr>
          </w:p>
          <w:p w14:paraId="10D401F1" w14:textId="09DF866E" w:rsidR="00CF6DBB" w:rsidRDefault="00CF6DBB" w:rsidP="00CF6DBB">
            <w:pPr>
              <w:jc w:val="center"/>
              <w:rPr>
                <w:rFonts w:ascii="Calibri" w:eastAsia="Times New Roman" w:hAnsi="Calibri" w:cs="Calibri"/>
                <w:kern w:val="0"/>
                <w14:ligatures w14:val="none"/>
              </w:rPr>
            </w:pPr>
            <w:r>
              <w:rPr>
                <w:rFonts w:ascii="Calibri" w:eastAsia="Times New Roman" w:hAnsi="Calibri" w:cs="Calibri"/>
                <w:noProof/>
                <w:kern w:val="0"/>
                <w14:ligatures w14:val="none"/>
              </w:rPr>
              <w:drawing>
                <wp:inline distT="0" distB="0" distL="0" distR="0" wp14:anchorId="383A8F19" wp14:editId="551AE469">
                  <wp:extent cx="4029041" cy="2479538"/>
                  <wp:effectExtent l="0" t="0" r="0" b="0"/>
                  <wp:docPr id="10683926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0093" cy="2486339"/>
                          </a:xfrm>
                          <a:prstGeom prst="rect">
                            <a:avLst/>
                          </a:prstGeom>
                          <a:noFill/>
                        </pic:spPr>
                      </pic:pic>
                    </a:graphicData>
                  </a:graphic>
                </wp:inline>
              </w:drawing>
            </w:r>
          </w:p>
          <w:p w14:paraId="7DA0326F" w14:textId="77777777" w:rsidR="00CF6DBB" w:rsidRDefault="00CF6DBB" w:rsidP="00CF6DBB">
            <w:pPr>
              <w:rPr>
                <w:rFonts w:ascii="Calibri" w:eastAsia="Times New Roman" w:hAnsi="Calibri" w:cs="Calibri"/>
                <w:kern w:val="0"/>
                <w14:ligatures w14:val="none"/>
              </w:rPr>
            </w:pPr>
          </w:p>
          <w:p w14:paraId="498D0A59" w14:textId="0FE993B5" w:rsidR="00CF6DBB" w:rsidRDefault="00CF6DBB" w:rsidP="00CF6DBB">
            <w:pPr>
              <w:rPr>
                <w:rFonts w:ascii="Calibri" w:eastAsia="Times New Roman" w:hAnsi="Calibri" w:cs="Calibri"/>
                <w:kern w:val="0"/>
                <w14:ligatures w14:val="none"/>
              </w:rPr>
            </w:pPr>
            <w:r>
              <w:rPr>
                <w:rFonts w:ascii="Calibri" w:eastAsia="Times New Roman" w:hAnsi="Calibri" w:cs="Calibri"/>
                <w:kern w:val="0"/>
                <w14:ligatures w14:val="none"/>
              </w:rPr>
              <w:lastRenderedPageBreak/>
              <w:t>State origin exports were up $2.1 billion</w:t>
            </w:r>
            <w:r w:rsidR="00E0466B">
              <w:rPr>
                <w:rFonts w:ascii="Calibri" w:eastAsia="Times New Roman" w:hAnsi="Calibri" w:cs="Calibri"/>
                <w:kern w:val="0"/>
                <w14:ligatures w14:val="none"/>
              </w:rPr>
              <w:t xml:space="preserve"> (13.5%)</w:t>
            </w:r>
            <w:r>
              <w:rPr>
                <w:rFonts w:ascii="Calibri" w:eastAsia="Times New Roman" w:hAnsi="Calibri" w:cs="Calibri"/>
                <w:kern w:val="0"/>
                <w14:ligatures w14:val="none"/>
              </w:rPr>
              <w:t xml:space="preserve"> compared to the prior month and $0.7 billion </w:t>
            </w:r>
            <w:r w:rsidR="00E0466B">
              <w:rPr>
                <w:rFonts w:ascii="Calibri" w:eastAsia="Times New Roman" w:hAnsi="Calibri" w:cs="Calibri"/>
                <w:kern w:val="0"/>
                <w14:ligatures w14:val="none"/>
              </w:rPr>
              <w:t xml:space="preserve">(4.2%) </w:t>
            </w:r>
            <w:r>
              <w:rPr>
                <w:rFonts w:ascii="Calibri" w:eastAsia="Times New Roman" w:hAnsi="Calibri" w:cs="Calibri"/>
                <w:kern w:val="0"/>
                <w14:ligatures w14:val="none"/>
              </w:rPr>
              <w:t xml:space="preserve">compared to March 2025.  </w:t>
            </w:r>
            <w:r w:rsidR="00E0466B">
              <w:rPr>
                <w:rFonts w:ascii="Calibri" w:eastAsia="Times New Roman" w:hAnsi="Calibri" w:cs="Calibri"/>
                <w:kern w:val="0"/>
                <w14:ligatures w14:val="none"/>
              </w:rPr>
              <w:t xml:space="preserve">Destination imports were up more sharply, at $7.6 billion (21.6%) for the month and $2.3 billion (5.6%) compared to March 2025.  </w:t>
            </w:r>
          </w:p>
          <w:p w14:paraId="7F9C91A9" w14:textId="77777777" w:rsidR="00E0466B" w:rsidRDefault="00E0466B" w:rsidP="00CF6DBB">
            <w:pPr>
              <w:rPr>
                <w:rFonts w:ascii="Calibri" w:eastAsia="Times New Roman" w:hAnsi="Calibri" w:cs="Calibri"/>
                <w:kern w:val="0"/>
                <w14:ligatures w14:val="none"/>
              </w:rPr>
            </w:pPr>
          </w:p>
          <w:p w14:paraId="213455B5" w14:textId="4F9268D7" w:rsidR="00E0466B" w:rsidRDefault="00E0466B" w:rsidP="00CF6DBB">
            <w:pPr>
              <w:rPr>
                <w:rFonts w:ascii="Calibri" w:eastAsia="Times New Roman" w:hAnsi="Calibri" w:cs="Calibri"/>
                <w:kern w:val="0"/>
                <w14:ligatures w14:val="none"/>
              </w:rPr>
            </w:pPr>
            <w:r>
              <w:rPr>
                <w:rFonts w:ascii="Calibri" w:eastAsia="Times New Roman" w:hAnsi="Calibri" w:cs="Calibri"/>
                <w:kern w:val="0"/>
                <w14:ligatures w14:val="none"/>
              </w:rPr>
              <w:t>Trade prices also saw a jump although slightly moderated from February’s large increases.  On an annualized basis, the export price index (all goods) rose 21.6% in March and the import price index (all goods) rose 9.6%.  The import price index for all goods except the more volatile fuels component also rose sharply at an annualized rate of 7.5%.</w:t>
            </w:r>
          </w:p>
          <w:p w14:paraId="5319F2DD" w14:textId="77777777" w:rsidR="00E0466B" w:rsidRDefault="00E0466B" w:rsidP="00CF6DBB">
            <w:pPr>
              <w:rPr>
                <w:rFonts w:ascii="Calibri" w:eastAsia="Times New Roman" w:hAnsi="Calibri" w:cs="Calibri"/>
                <w:kern w:val="0"/>
                <w14:ligatures w14:val="none"/>
              </w:rPr>
            </w:pPr>
          </w:p>
          <w:p w14:paraId="41D4805A" w14:textId="4BB0375C" w:rsidR="00E0466B" w:rsidRDefault="00E0466B" w:rsidP="00E0466B">
            <w:pPr>
              <w:jc w:val="center"/>
              <w:rPr>
                <w:rFonts w:ascii="Calibri" w:eastAsia="Times New Roman" w:hAnsi="Calibri" w:cs="Calibri"/>
                <w:kern w:val="0"/>
                <w14:ligatures w14:val="none"/>
              </w:rPr>
            </w:pPr>
            <w:r>
              <w:rPr>
                <w:rFonts w:ascii="Calibri" w:eastAsia="Times New Roman" w:hAnsi="Calibri" w:cs="Calibri"/>
                <w:noProof/>
                <w:kern w:val="0"/>
                <w14:ligatures w14:val="none"/>
              </w:rPr>
              <w:drawing>
                <wp:inline distT="0" distB="0" distL="0" distR="0" wp14:anchorId="6BFAB807" wp14:editId="69B4D8C2">
                  <wp:extent cx="4007376" cy="2381700"/>
                  <wp:effectExtent l="0" t="0" r="0" b="0"/>
                  <wp:docPr id="1852387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2288" cy="2390563"/>
                          </a:xfrm>
                          <a:prstGeom prst="rect">
                            <a:avLst/>
                          </a:prstGeom>
                          <a:noFill/>
                        </pic:spPr>
                      </pic:pic>
                    </a:graphicData>
                  </a:graphic>
                </wp:inline>
              </w:drawing>
            </w:r>
          </w:p>
          <w:p w14:paraId="7584F22D" w14:textId="77777777" w:rsidR="00E0466B" w:rsidRDefault="00E0466B" w:rsidP="00CF6DBB">
            <w:pPr>
              <w:rPr>
                <w:rFonts w:ascii="Calibri" w:eastAsia="Times New Roman" w:hAnsi="Calibri" w:cs="Calibri"/>
                <w:kern w:val="0"/>
                <w14:ligatures w14:val="none"/>
              </w:rPr>
            </w:pPr>
          </w:p>
          <w:p w14:paraId="56328190" w14:textId="1A8B6C3B" w:rsidR="00E0466B" w:rsidRDefault="00E0466B" w:rsidP="00E0466B">
            <w:pPr>
              <w:jc w:val="center"/>
              <w:rPr>
                <w:rFonts w:ascii="Calibri" w:eastAsia="Times New Roman" w:hAnsi="Calibri" w:cs="Calibri"/>
                <w:kern w:val="0"/>
                <w14:ligatures w14:val="none"/>
              </w:rPr>
            </w:pPr>
            <w:r>
              <w:rPr>
                <w:rFonts w:ascii="Calibri" w:eastAsia="Times New Roman" w:hAnsi="Calibri" w:cs="Calibri"/>
                <w:noProof/>
                <w:kern w:val="0"/>
                <w14:ligatures w14:val="none"/>
              </w:rPr>
              <w:drawing>
                <wp:inline distT="0" distB="0" distL="0" distR="0" wp14:anchorId="496B01BA" wp14:editId="73B65B53">
                  <wp:extent cx="4023727" cy="2361974"/>
                  <wp:effectExtent l="0" t="0" r="0" b="635"/>
                  <wp:docPr id="12108790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6584" cy="2369521"/>
                          </a:xfrm>
                          <a:prstGeom prst="rect">
                            <a:avLst/>
                          </a:prstGeom>
                          <a:noFill/>
                        </pic:spPr>
                      </pic:pic>
                    </a:graphicData>
                  </a:graphic>
                </wp:inline>
              </w:drawing>
            </w:r>
          </w:p>
          <w:p w14:paraId="022242BF" w14:textId="77777777" w:rsidR="00E0466B" w:rsidRDefault="00E0466B" w:rsidP="00CF6DBB">
            <w:pPr>
              <w:rPr>
                <w:rFonts w:ascii="Calibri" w:eastAsia="Times New Roman" w:hAnsi="Calibri" w:cs="Calibri"/>
                <w:kern w:val="0"/>
                <w14:ligatures w14:val="none"/>
              </w:rPr>
            </w:pPr>
          </w:p>
          <w:p w14:paraId="51A90433" w14:textId="4F9816C8" w:rsidR="00E0466B" w:rsidRDefault="00E0466B" w:rsidP="00E0466B">
            <w:pPr>
              <w:jc w:val="center"/>
              <w:rPr>
                <w:rFonts w:ascii="Calibri" w:eastAsia="Times New Roman" w:hAnsi="Calibri" w:cs="Calibri"/>
                <w:kern w:val="0"/>
                <w14:ligatures w14:val="none"/>
              </w:rPr>
            </w:pPr>
            <w:r>
              <w:rPr>
                <w:rFonts w:ascii="Calibri" w:eastAsia="Times New Roman" w:hAnsi="Calibri" w:cs="Calibri"/>
                <w:noProof/>
                <w:kern w:val="0"/>
                <w14:ligatures w14:val="none"/>
              </w:rPr>
              <w:lastRenderedPageBreak/>
              <w:drawing>
                <wp:inline distT="0" distB="0" distL="0" distR="0" wp14:anchorId="778C456D" wp14:editId="004223FC">
                  <wp:extent cx="4024467" cy="2391858"/>
                  <wp:effectExtent l="0" t="0" r="0" b="8890"/>
                  <wp:docPr id="21041960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101" cy="2396395"/>
                          </a:xfrm>
                          <a:prstGeom prst="rect">
                            <a:avLst/>
                          </a:prstGeom>
                          <a:noFill/>
                        </pic:spPr>
                      </pic:pic>
                    </a:graphicData>
                  </a:graphic>
                </wp:inline>
              </w:drawing>
            </w:r>
          </w:p>
          <w:p w14:paraId="1065CB95" w14:textId="77777777" w:rsidR="00CF6DBB" w:rsidRDefault="00CF6DBB" w:rsidP="00CF6DBB">
            <w:pPr>
              <w:rPr>
                <w:rFonts w:ascii="Calibri" w:eastAsia="Times New Roman" w:hAnsi="Calibri" w:cs="Calibri"/>
                <w:kern w:val="0"/>
                <w14:ligatures w14:val="none"/>
              </w:rPr>
            </w:pPr>
          </w:p>
          <w:p w14:paraId="2930F1C3" w14:textId="77777777" w:rsidR="00CF6DBB" w:rsidRDefault="00CF6DBB" w:rsidP="00CF6DBB">
            <w:pPr>
              <w:rPr>
                <w:rFonts w:ascii="Calibri" w:eastAsia="Times New Roman" w:hAnsi="Calibri" w:cs="Calibri"/>
                <w:kern w:val="0"/>
                <w14:ligatures w14:val="none"/>
              </w:rPr>
            </w:pPr>
          </w:p>
          <w:p w14:paraId="173C700B" w14:textId="77777777" w:rsidR="00CF6DBB" w:rsidRPr="00CF6DBB" w:rsidRDefault="00CF6DBB" w:rsidP="00CF6DBB">
            <w:pPr>
              <w:rPr>
                <w:rFonts w:ascii="Calibri" w:eastAsia="Times New Roman" w:hAnsi="Calibri" w:cs="Calibri"/>
                <w:kern w:val="0"/>
                <w14:ligatures w14:val="none"/>
              </w:rPr>
            </w:pPr>
          </w:p>
        </w:tc>
      </w:tr>
      <w:tr w:rsidR="00CF6DBB" w:rsidRPr="00CF6DBB" w14:paraId="02552115" w14:textId="77777777" w:rsidTr="00E0466B">
        <w:trPr>
          <w:trHeight w:val="282"/>
        </w:trPr>
        <w:tc>
          <w:tcPr>
            <w:tcW w:w="2206" w:type="pct"/>
            <w:tcBorders>
              <w:top w:val="nil"/>
              <w:left w:val="nil"/>
              <w:bottom w:val="nil"/>
              <w:right w:val="nil"/>
            </w:tcBorders>
            <w:noWrap/>
            <w:vAlign w:val="bottom"/>
            <w:hideMark/>
          </w:tcPr>
          <w:p w14:paraId="02C15CA6" w14:textId="77777777" w:rsidR="00CF6DBB" w:rsidRPr="00CF6DBB" w:rsidRDefault="00CF6DBB" w:rsidP="00CF6DBB">
            <w:pPr>
              <w:rPr>
                <w:rFonts w:ascii="Times New Roman" w:eastAsia="Times New Roman" w:hAnsi="Times New Roman" w:cs="Times New Roman"/>
                <w:kern w:val="0"/>
                <w:sz w:val="20"/>
                <w:szCs w:val="20"/>
                <w14:ligatures w14:val="none"/>
              </w:rPr>
            </w:pPr>
          </w:p>
        </w:tc>
        <w:tc>
          <w:tcPr>
            <w:tcW w:w="1394" w:type="pct"/>
            <w:tcBorders>
              <w:top w:val="nil"/>
              <w:left w:val="nil"/>
              <w:bottom w:val="nil"/>
              <w:right w:val="nil"/>
            </w:tcBorders>
            <w:noWrap/>
            <w:vAlign w:val="bottom"/>
            <w:hideMark/>
          </w:tcPr>
          <w:p w14:paraId="4F0BFD9B" w14:textId="77777777" w:rsidR="00CF6DBB" w:rsidRPr="00CF6DBB" w:rsidRDefault="00CF6DBB" w:rsidP="00CF6DBB">
            <w:pPr>
              <w:rPr>
                <w:rFonts w:ascii="Times New Roman" w:eastAsia="Times New Roman" w:hAnsi="Times New Roman" w:cs="Times New Roman"/>
                <w:kern w:val="0"/>
                <w:sz w:val="20"/>
                <w:szCs w:val="20"/>
                <w14:ligatures w14:val="none"/>
              </w:rPr>
            </w:pPr>
          </w:p>
        </w:tc>
        <w:tc>
          <w:tcPr>
            <w:tcW w:w="1400" w:type="pct"/>
            <w:tcBorders>
              <w:top w:val="nil"/>
              <w:left w:val="nil"/>
              <w:bottom w:val="nil"/>
              <w:right w:val="nil"/>
            </w:tcBorders>
            <w:noWrap/>
            <w:vAlign w:val="bottom"/>
            <w:hideMark/>
          </w:tcPr>
          <w:p w14:paraId="1A0D1115" w14:textId="77777777" w:rsidR="00CF6DBB" w:rsidRPr="00CF6DBB" w:rsidRDefault="00CF6DBB" w:rsidP="00CF6DBB">
            <w:pPr>
              <w:rPr>
                <w:rFonts w:ascii="Times New Roman" w:eastAsia="Times New Roman" w:hAnsi="Times New Roman" w:cs="Times New Roman"/>
                <w:kern w:val="0"/>
                <w:sz w:val="20"/>
                <w:szCs w:val="20"/>
                <w14:ligatures w14:val="none"/>
              </w:rPr>
            </w:pPr>
          </w:p>
        </w:tc>
      </w:tr>
      <w:tr w:rsidR="00CF6DBB" w:rsidRPr="00CF6DBB" w14:paraId="18422FB8" w14:textId="77777777" w:rsidTr="00CF6DBB">
        <w:trPr>
          <w:trHeight w:val="630"/>
        </w:trPr>
        <w:tc>
          <w:tcPr>
            <w:tcW w:w="5000" w:type="pct"/>
            <w:gridSpan w:val="3"/>
            <w:tcBorders>
              <w:top w:val="nil"/>
              <w:left w:val="nil"/>
              <w:bottom w:val="nil"/>
              <w:right w:val="nil"/>
            </w:tcBorders>
            <w:vAlign w:val="center"/>
            <w:hideMark/>
          </w:tcPr>
          <w:p w14:paraId="16E2DCED" w14:textId="77777777" w:rsidR="00CF6DBB" w:rsidRPr="00CF6DBB" w:rsidRDefault="00CF6DBB" w:rsidP="00CF6DBB">
            <w:pPr>
              <w:rPr>
                <w:rFonts w:ascii="Georgia" w:eastAsia="Times New Roman" w:hAnsi="Georgia" w:cs="Calibri"/>
                <w:color w:val="212121"/>
                <w:kern w:val="0"/>
                <w:sz w:val="36"/>
                <w:szCs w:val="36"/>
                <w14:ligatures w14:val="none"/>
              </w:rPr>
            </w:pPr>
            <w:r w:rsidRPr="00CF6DBB">
              <w:rPr>
                <w:rFonts w:ascii="Georgia" w:eastAsia="Times New Roman" w:hAnsi="Georgia" w:cs="Calibri"/>
                <w:color w:val="212121"/>
                <w:kern w:val="0"/>
                <w:sz w:val="36"/>
                <w:szCs w:val="36"/>
                <w14:ligatures w14:val="none"/>
              </w:rPr>
              <w:t xml:space="preserve">Share of Goods through US Ports </w:t>
            </w:r>
          </w:p>
        </w:tc>
      </w:tr>
      <w:tr w:rsidR="00CF6DBB" w:rsidRPr="00CF6DBB" w14:paraId="6BB47CE0" w14:textId="77777777" w:rsidTr="00CF6DBB">
        <w:trPr>
          <w:trHeight w:val="120"/>
        </w:trPr>
        <w:tc>
          <w:tcPr>
            <w:tcW w:w="5000" w:type="pct"/>
            <w:gridSpan w:val="3"/>
            <w:tcBorders>
              <w:top w:val="nil"/>
              <w:left w:val="nil"/>
              <w:bottom w:val="nil"/>
              <w:right w:val="nil"/>
            </w:tcBorders>
            <w:vAlign w:val="center"/>
            <w:hideMark/>
          </w:tcPr>
          <w:p w14:paraId="3E2D5220" w14:textId="77777777" w:rsidR="00CF6DBB" w:rsidRPr="00CF6DBB" w:rsidRDefault="00CF6DBB" w:rsidP="00CF6DBB">
            <w:pPr>
              <w:rPr>
                <w:rFonts w:ascii="Georgia" w:eastAsia="Times New Roman" w:hAnsi="Georgia" w:cs="Calibri"/>
                <w:color w:val="212121"/>
                <w:kern w:val="0"/>
                <w:sz w:val="36"/>
                <w:szCs w:val="36"/>
                <w14:ligatures w14:val="none"/>
              </w:rPr>
            </w:pPr>
          </w:p>
        </w:tc>
      </w:tr>
      <w:tr w:rsidR="00CF6DBB" w:rsidRPr="00CF6DBB" w14:paraId="293C5518" w14:textId="77777777" w:rsidTr="00E0466B">
        <w:trPr>
          <w:trHeight w:val="1305"/>
        </w:trPr>
        <w:tc>
          <w:tcPr>
            <w:tcW w:w="2206" w:type="pct"/>
            <w:tcBorders>
              <w:top w:val="nil"/>
              <w:left w:val="nil"/>
              <w:bottom w:val="nil"/>
              <w:right w:val="nil"/>
            </w:tcBorders>
            <w:noWrap/>
            <w:hideMark/>
          </w:tcPr>
          <w:p w14:paraId="062782C2" w14:textId="77777777" w:rsidR="00CF6DBB" w:rsidRPr="00CF6DBB" w:rsidRDefault="00CF6DBB" w:rsidP="00CF6DBB">
            <w:pPr>
              <w:jc w:val="center"/>
              <w:rPr>
                <w:rFonts w:ascii="Arial" w:eastAsia="Times New Roman" w:hAnsi="Arial" w:cs="Arial"/>
                <w:b/>
                <w:bCs/>
                <w:color w:val="4197D6"/>
                <w:kern w:val="0"/>
                <w:sz w:val="63"/>
                <w:szCs w:val="63"/>
                <w14:ligatures w14:val="none"/>
              </w:rPr>
            </w:pPr>
            <w:r w:rsidRPr="00CF6DBB">
              <w:rPr>
                <w:rFonts w:ascii="Arial" w:eastAsia="Times New Roman" w:hAnsi="Arial" w:cs="Arial"/>
                <w:b/>
                <w:bCs/>
                <w:color w:val="4197D6"/>
                <w:kern w:val="0"/>
                <w:sz w:val="63"/>
                <w:szCs w:val="63"/>
                <w14:ligatures w14:val="none"/>
              </w:rPr>
              <w:t>16.6%</w:t>
            </w:r>
          </w:p>
        </w:tc>
        <w:tc>
          <w:tcPr>
            <w:tcW w:w="2794" w:type="pct"/>
            <w:gridSpan w:val="2"/>
            <w:tcBorders>
              <w:top w:val="nil"/>
              <w:left w:val="nil"/>
              <w:bottom w:val="nil"/>
              <w:right w:val="nil"/>
            </w:tcBorders>
            <w:vAlign w:val="center"/>
            <w:hideMark/>
          </w:tcPr>
          <w:p w14:paraId="34CFF6D0" w14:textId="68344488" w:rsidR="00CF6DBB" w:rsidRPr="00CF6DBB" w:rsidRDefault="00CF6DBB" w:rsidP="00CF6DBB">
            <w:pPr>
              <w:rPr>
                <w:rFonts w:ascii="Arial" w:eastAsia="Times New Roman" w:hAnsi="Arial" w:cs="Arial"/>
                <w:color w:val="212121"/>
                <w:kern w:val="0"/>
                <w:sz w:val="23"/>
                <w:szCs w:val="23"/>
                <w14:ligatures w14:val="none"/>
              </w:rPr>
            </w:pPr>
            <w:r w:rsidRPr="00CF6DBB">
              <w:rPr>
                <w:rFonts w:ascii="Arial" w:eastAsia="Times New Roman" w:hAnsi="Arial" w:cs="Arial"/>
                <w:color w:val="212121"/>
                <w:kern w:val="0"/>
                <w:sz w:val="23"/>
                <w:szCs w:val="23"/>
                <w14:ligatures w14:val="none"/>
              </w:rPr>
              <w:t>The share of total US goods trade (exports and imports) through California ports edged up to 16.56% (12 month moving average; compared to 16.42% in Feb</w:t>
            </w:r>
            <w:r>
              <w:rPr>
                <w:rFonts w:ascii="Arial" w:eastAsia="Times New Roman" w:hAnsi="Arial" w:cs="Arial"/>
                <w:color w:val="212121"/>
                <w:kern w:val="0"/>
                <w:sz w:val="23"/>
                <w:szCs w:val="23"/>
                <w14:ligatures w14:val="none"/>
              </w:rPr>
              <w:t>ruary</w:t>
            </w:r>
            <w:r w:rsidRPr="00CF6DBB">
              <w:rPr>
                <w:rFonts w:ascii="Arial" w:eastAsia="Times New Roman" w:hAnsi="Arial" w:cs="Arial"/>
                <w:color w:val="212121"/>
                <w:kern w:val="0"/>
                <w:sz w:val="23"/>
                <w:szCs w:val="23"/>
                <w14:ligatures w14:val="none"/>
              </w:rPr>
              <w:t xml:space="preserve"> 2026 and 16.63% in Mar</w:t>
            </w:r>
            <w:r>
              <w:rPr>
                <w:rFonts w:ascii="Arial" w:eastAsia="Times New Roman" w:hAnsi="Arial" w:cs="Arial"/>
                <w:color w:val="212121"/>
                <w:kern w:val="0"/>
                <w:sz w:val="23"/>
                <w:szCs w:val="23"/>
                <w14:ligatures w14:val="none"/>
              </w:rPr>
              <w:t xml:space="preserve">ch </w:t>
            </w:r>
            <w:r w:rsidRPr="00CF6DBB">
              <w:rPr>
                <w:rFonts w:ascii="Arial" w:eastAsia="Times New Roman" w:hAnsi="Arial" w:cs="Arial"/>
                <w:color w:val="212121"/>
                <w:kern w:val="0"/>
                <w:sz w:val="23"/>
                <w:szCs w:val="23"/>
                <w14:ligatures w14:val="none"/>
              </w:rPr>
              <w:t>2025).</w:t>
            </w:r>
          </w:p>
        </w:tc>
      </w:tr>
      <w:tr w:rsidR="00CF6DBB" w:rsidRPr="00CF6DBB" w14:paraId="6CFF374F" w14:textId="77777777" w:rsidTr="00E0466B">
        <w:trPr>
          <w:trHeight w:val="225"/>
        </w:trPr>
        <w:tc>
          <w:tcPr>
            <w:tcW w:w="2206" w:type="pct"/>
            <w:vMerge w:val="restart"/>
            <w:tcBorders>
              <w:top w:val="nil"/>
              <w:left w:val="nil"/>
              <w:bottom w:val="nil"/>
              <w:right w:val="nil"/>
            </w:tcBorders>
            <w:hideMark/>
          </w:tcPr>
          <w:p w14:paraId="0A9930CB" w14:textId="77777777" w:rsidR="00CF6DBB" w:rsidRPr="00CF6DBB" w:rsidRDefault="00CF6DBB" w:rsidP="00CF6DBB">
            <w:pPr>
              <w:jc w:val="center"/>
              <w:rPr>
                <w:rFonts w:ascii="Arial" w:eastAsia="Times New Roman" w:hAnsi="Arial" w:cs="Arial"/>
                <w:color w:val="666666"/>
                <w:kern w:val="0"/>
                <w:sz w:val="20"/>
                <w:szCs w:val="20"/>
                <w14:ligatures w14:val="none"/>
              </w:rPr>
            </w:pPr>
            <w:r w:rsidRPr="00CF6DBB">
              <w:rPr>
                <w:rFonts w:ascii="Arial" w:eastAsia="Times New Roman" w:hAnsi="Arial" w:cs="Arial"/>
                <w:color w:val="666666"/>
                <w:kern w:val="0"/>
                <w:sz w:val="20"/>
                <w:szCs w:val="20"/>
                <w14:ligatures w14:val="none"/>
              </w:rPr>
              <w:t>CA Share of Total Trade</w:t>
            </w:r>
            <w:r w:rsidRPr="00CF6DBB">
              <w:rPr>
                <w:rFonts w:ascii="Arial" w:eastAsia="Times New Roman" w:hAnsi="Arial" w:cs="Arial"/>
                <w:color w:val="666666"/>
                <w:kern w:val="0"/>
                <w:sz w:val="20"/>
                <w:szCs w:val="20"/>
                <w14:ligatures w14:val="none"/>
              </w:rPr>
              <w:br/>
              <w:t xml:space="preserve">Through US Ports </w:t>
            </w:r>
          </w:p>
        </w:tc>
        <w:tc>
          <w:tcPr>
            <w:tcW w:w="1394" w:type="pct"/>
            <w:tcBorders>
              <w:top w:val="nil"/>
              <w:left w:val="nil"/>
              <w:bottom w:val="nil"/>
              <w:right w:val="nil"/>
            </w:tcBorders>
            <w:vAlign w:val="center"/>
            <w:hideMark/>
          </w:tcPr>
          <w:p w14:paraId="31F1A2A1" w14:textId="77777777" w:rsidR="00CF6DBB" w:rsidRPr="00CF6DBB" w:rsidRDefault="00CF6DBB" w:rsidP="00CF6DBB">
            <w:pPr>
              <w:jc w:val="center"/>
              <w:rPr>
                <w:rFonts w:ascii="Arial" w:eastAsia="Times New Roman" w:hAnsi="Arial" w:cs="Arial"/>
                <w:color w:val="666666"/>
                <w:kern w:val="0"/>
                <w:sz w:val="20"/>
                <w:szCs w:val="20"/>
                <w14:ligatures w14:val="none"/>
              </w:rPr>
            </w:pPr>
          </w:p>
        </w:tc>
        <w:tc>
          <w:tcPr>
            <w:tcW w:w="1400" w:type="pct"/>
            <w:tcBorders>
              <w:top w:val="nil"/>
              <w:left w:val="nil"/>
              <w:bottom w:val="nil"/>
              <w:right w:val="nil"/>
            </w:tcBorders>
            <w:noWrap/>
            <w:vAlign w:val="bottom"/>
            <w:hideMark/>
          </w:tcPr>
          <w:p w14:paraId="1DF8CDE3" w14:textId="77777777" w:rsidR="00CF6DBB" w:rsidRPr="00CF6DBB" w:rsidRDefault="00CF6DBB" w:rsidP="00CF6DBB">
            <w:pPr>
              <w:rPr>
                <w:rFonts w:ascii="Times New Roman" w:eastAsia="Times New Roman" w:hAnsi="Times New Roman" w:cs="Times New Roman"/>
                <w:kern w:val="0"/>
                <w:sz w:val="20"/>
                <w:szCs w:val="20"/>
                <w14:ligatures w14:val="none"/>
              </w:rPr>
            </w:pPr>
          </w:p>
        </w:tc>
      </w:tr>
      <w:tr w:rsidR="00CF6DBB" w:rsidRPr="00CF6DBB" w14:paraId="1061F96B" w14:textId="77777777" w:rsidTr="00E0466B">
        <w:trPr>
          <w:trHeight w:val="2700"/>
        </w:trPr>
        <w:tc>
          <w:tcPr>
            <w:tcW w:w="2206" w:type="pct"/>
            <w:vMerge/>
            <w:tcBorders>
              <w:top w:val="nil"/>
              <w:left w:val="nil"/>
              <w:bottom w:val="nil"/>
              <w:right w:val="nil"/>
            </w:tcBorders>
            <w:vAlign w:val="center"/>
            <w:hideMark/>
          </w:tcPr>
          <w:p w14:paraId="15F9B43C" w14:textId="77777777" w:rsidR="00CF6DBB" w:rsidRPr="00CF6DBB" w:rsidRDefault="00CF6DBB" w:rsidP="00CF6DBB">
            <w:pPr>
              <w:rPr>
                <w:rFonts w:ascii="Arial" w:eastAsia="Times New Roman" w:hAnsi="Arial" w:cs="Arial"/>
                <w:color w:val="666666"/>
                <w:kern w:val="0"/>
                <w:sz w:val="20"/>
                <w:szCs w:val="20"/>
                <w14:ligatures w14:val="none"/>
              </w:rPr>
            </w:pPr>
          </w:p>
        </w:tc>
        <w:tc>
          <w:tcPr>
            <w:tcW w:w="2794" w:type="pct"/>
            <w:gridSpan w:val="2"/>
            <w:tcBorders>
              <w:top w:val="nil"/>
              <w:left w:val="nil"/>
              <w:bottom w:val="nil"/>
              <w:right w:val="nil"/>
            </w:tcBorders>
            <w:hideMark/>
          </w:tcPr>
          <w:p w14:paraId="27840FE1" w14:textId="4770F5D6"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California remained the #2 state, behind Texas which had a 20.64% share (compared to 20.39% in Feb</w:t>
            </w:r>
            <w:r>
              <w:rPr>
                <w:rFonts w:ascii="Arial" w:eastAsia="Times New Roman" w:hAnsi="Arial" w:cs="Arial"/>
                <w:color w:val="000000"/>
                <w:kern w:val="0"/>
                <w:sz w:val="23"/>
                <w:szCs w:val="23"/>
                <w14:ligatures w14:val="none"/>
              </w:rPr>
              <w:t>ruary</w:t>
            </w:r>
            <w:r w:rsidRPr="00CF6DBB">
              <w:rPr>
                <w:rFonts w:ascii="Arial" w:eastAsia="Times New Roman" w:hAnsi="Arial" w:cs="Arial"/>
                <w:color w:val="000000"/>
                <w:kern w:val="0"/>
                <w:sz w:val="23"/>
                <w:szCs w:val="23"/>
                <w14:ligatures w14:val="none"/>
              </w:rPr>
              <w:t xml:space="preserve"> 2026 and 19.46% in Mar</w:t>
            </w:r>
            <w:r>
              <w:rPr>
                <w:rFonts w:ascii="Arial" w:eastAsia="Times New Roman" w:hAnsi="Arial" w:cs="Arial"/>
                <w:color w:val="000000"/>
                <w:kern w:val="0"/>
                <w:sz w:val="23"/>
                <w:szCs w:val="23"/>
                <w14:ligatures w14:val="none"/>
              </w:rPr>
              <w:t>ch</w:t>
            </w:r>
            <w:r w:rsidRPr="00CF6DBB">
              <w:rPr>
                <w:rFonts w:ascii="Arial" w:eastAsia="Times New Roman" w:hAnsi="Arial" w:cs="Arial"/>
                <w:color w:val="000000"/>
                <w:kern w:val="0"/>
                <w:sz w:val="23"/>
                <w:szCs w:val="23"/>
                <w14:ligatures w14:val="none"/>
              </w:rPr>
              <w:t xml:space="preserve"> 2025). Trade through the Atlantic port states was at 29.19% (compared to 29.46% in Feb</w:t>
            </w:r>
            <w:r>
              <w:rPr>
                <w:rFonts w:ascii="Arial" w:eastAsia="Times New Roman" w:hAnsi="Arial" w:cs="Arial"/>
                <w:color w:val="000000"/>
                <w:kern w:val="0"/>
                <w:sz w:val="23"/>
                <w:szCs w:val="23"/>
                <w14:ligatures w14:val="none"/>
              </w:rPr>
              <w:t>ruary</w:t>
            </w:r>
            <w:r w:rsidRPr="00CF6DBB">
              <w:rPr>
                <w:rFonts w:ascii="Arial" w:eastAsia="Times New Roman" w:hAnsi="Arial" w:cs="Arial"/>
                <w:color w:val="000000"/>
                <w:kern w:val="0"/>
                <w:sz w:val="23"/>
                <w:szCs w:val="23"/>
                <w14:ligatures w14:val="none"/>
              </w:rPr>
              <w:t xml:space="preserve"> 2026 and 29.88% in Mar</w:t>
            </w:r>
            <w:r>
              <w:rPr>
                <w:rFonts w:ascii="Arial" w:eastAsia="Times New Roman" w:hAnsi="Arial" w:cs="Arial"/>
                <w:color w:val="000000"/>
                <w:kern w:val="0"/>
                <w:sz w:val="23"/>
                <w:szCs w:val="23"/>
                <w14:ligatures w14:val="none"/>
              </w:rPr>
              <w:t>ch</w:t>
            </w:r>
            <w:r w:rsidRPr="00CF6DBB">
              <w:rPr>
                <w:rFonts w:ascii="Arial" w:eastAsia="Times New Roman" w:hAnsi="Arial" w:cs="Arial"/>
                <w:color w:val="000000"/>
                <w:kern w:val="0"/>
                <w:sz w:val="23"/>
                <w:szCs w:val="23"/>
                <w14:ligatures w14:val="none"/>
              </w:rPr>
              <w:t xml:space="preserve"> 2025). These trade flows form the trade-related base for one of California’s largest centers of middle-class, blue-collar jobs. </w:t>
            </w:r>
          </w:p>
        </w:tc>
      </w:tr>
      <w:tr w:rsidR="00CF6DBB" w:rsidRPr="00CF6DBB" w14:paraId="2F9BC75F" w14:textId="77777777" w:rsidTr="00CF6DBB">
        <w:trPr>
          <w:trHeight w:val="180"/>
        </w:trPr>
        <w:tc>
          <w:tcPr>
            <w:tcW w:w="5000" w:type="pct"/>
            <w:gridSpan w:val="3"/>
            <w:tcBorders>
              <w:top w:val="nil"/>
              <w:left w:val="nil"/>
              <w:bottom w:val="nil"/>
              <w:right w:val="nil"/>
            </w:tcBorders>
            <w:hideMark/>
          </w:tcPr>
          <w:p w14:paraId="19AA26B6" w14:textId="77777777" w:rsidR="00CF6DBB" w:rsidRPr="00CF6DBB" w:rsidRDefault="00CF6DBB" w:rsidP="00CF6DBB">
            <w:pPr>
              <w:rPr>
                <w:rFonts w:ascii="Arial" w:eastAsia="Times New Roman" w:hAnsi="Arial" w:cs="Arial"/>
                <w:color w:val="000000"/>
                <w:kern w:val="0"/>
                <w:sz w:val="23"/>
                <w:szCs w:val="23"/>
                <w14:ligatures w14:val="none"/>
              </w:rPr>
            </w:pPr>
          </w:p>
        </w:tc>
      </w:tr>
      <w:tr w:rsidR="00CF6DBB" w:rsidRPr="00CF6DBB" w14:paraId="51143D8B" w14:textId="77777777" w:rsidTr="00CF6DBB">
        <w:trPr>
          <w:trHeight w:val="630"/>
        </w:trPr>
        <w:tc>
          <w:tcPr>
            <w:tcW w:w="5000" w:type="pct"/>
            <w:gridSpan w:val="3"/>
            <w:tcBorders>
              <w:top w:val="nil"/>
              <w:left w:val="nil"/>
              <w:bottom w:val="nil"/>
              <w:right w:val="nil"/>
            </w:tcBorders>
            <w:vAlign w:val="center"/>
            <w:hideMark/>
          </w:tcPr>
          <w:p w14:paraId="063C4448" w14:textId="77777777" w:rsidR="00CF6DBB" w:rsidRPr="00CF6DBB" w:rsidRDefault="00CF6DBB" w:rsidP="00CF6DBB">
            <w:pPr>
              <w:rPr>
                <w:rFonts w:ascii="Georgia" w:eastAsia="Times New Roman" w:hAnsi="Georgia" w:cs="Calibri"/>
                <w:color w:val="212121"/>
                <w:kern w:val="0"/>
                <w:sz w:val="36"/>
                <w:szCs w:val="36"/>
                <w14:ligatures w14:val="none"/>
              </w:rPr>
            </w:pPr>
            <w:r w:rsidRPr="00CF6DBB">
              <w:rPr>
                <w:rFonts w:ascii="Georgia" w:eastAsia="Times New Roman" w:hAnsi="Georgia" w:cs="Calibri"/>
                <w:color w:val="212121"/>
                <w:kern w:val="0"/>
                <w:sz w:val="36"/>
                <w:szCs w:val="36"/>
                <w14:ligatures w14:val="none"/>
              </w:rPr>
              <w:t xml:space="preserve">California Goods Exports </w:t>
            </w:r>
          </w:p>
        </w:tc>
      </w:tr>
      <w:tr w:rsidR="00CF6DBB" w:rsidRPr="00CF6DBB" w14:paraId="3F449401" w14:textId="77777777" w:rsidTr="00E0466B">
        <w:trPr>
          <w:trHeight w:val="870"/>
        </w:trPr>
        <w:tc>
          <w:tcPr>
            <w:tcW w:w="2206" w:type="pct"/>
            <w:tcBorders>
              <w:top w:val="nil"/>
              <w:left w:val="nil"/>
              <w:bottom w:val="nil"/>
              <w:right w:val="nil"/>
            </w:tcBorders>
            <w:noWrap/>
            <w:hideMark/>
          </w:tcPr>
          <w:p w14:paraId="1089F0F7" w14:textId="77777777" w:rsidR="00CF6DBB" w:rsidRPr="00CF6DBB" w:rsidRDefault="00CF6DBB" w:rsidP="00CF6DBB">
            <w:pPr>
              <w:jc w:val="center"/>
              <w:rPr>
                <w:rFonts w:ascii="Arial" w:eastAsia="Times New Roman" w:hAnsi="Arial" w:cs="Arial"/>
                <w:b/>
                <w:bCs/>
                <w:color w:val="CB0911"/>
                <w:kern w:val="0"/>
                <w:sz w:val="63"/>
                <w:szCs w:val="63"/>
                <w14:ligatures w14:val="none"/>
              </w:rPr>
            </w:pPr>
            <w:r w:rsidRPr="00CF6DBB">
              <w:rPr>
                <w:rFonts w:ascii="Arial" w:eastAsia="Times New Roman" w:hAnsi="Arial" w:cs="Arial"/>
                <w:b/>
                <w:bCs/>
                <w:color w:val="0F9ED5" w:themeColor="accent4"/>
                <w:kern w:val="0"/>
                <w:sz w:val="63"/>
                <w:szCs w:val="63"/>
                <w14:ligatures w14:val="none"/>
              </w:rPr>
              <w:t>$0.7</w:t>
            </w:r>
          </w:p>
        </w:tc>
        <w:tc>
          <w:tcPr>
            <w:tcW w:w="2794" w:type="pct"/>
            <w:gridSpan w:val="2"/>
            <w:vMerge w:val="restart"/>
            <w:tcBorders>
              <w:top w:val="nil"/>
              <w:left w:val="nil"/>
              <w:bottom w:val="nil"/>
              <w:right w:val="nil"/>
            </w:tcBorders>
            <w:hideMark/>
          </w:tcPr>
          <w:p w14:paraId="16EDE3B0" w14:textId="3D016C30"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Total California origin goods exports were </w:t>
            </w:r>
            <w:r>
              <w:rPr>
                <w:rFonts w:ascii="Arial" w:eastAsia="Times New Roman" w:hAnsi="Arial" w:cs="Arial"/>
                <w:color w:val="000000"/>
                <w:kern w:val="0"/>
                <w:sz w:val="23"/>
                <w:szCs w:val="23"/>
                <w14:ligatures w14:val="none"/>
              </w:rPr>
              <w:t>up</w:t>
            </w:r>
            <w:r w:rsidRPr="00CF6DBB">
              <w:rPr>
                <w:rFonts w:ascii="Arial" w:eastAsia="Times New Roman" w:hAnsi="Arial" w:cs="Arial"/>
                <w:color w:val="000000"/>
                <w:kern w:val="0"/>
                <w:sz w:val="23"/>
                <w:szCs w:val="23"/>
                <w14:ligatures w14:val="none"/>
              </w:rPr>
              <w:t xml:space="preserve"> $0.7 billion from Mar</w:t>
            </w:r>
            <w:r>
              <w:rPr>
                <w:rFonts w:ascii="Arial" w:eastAsia="Times New Roman" w:hAnsi="Arial" w:cs="Arial"/>
                <w:color w:val="000000"/>
                <w:kern w:val="0"/>
                <w:sz w:val="23"/>
                <w:szCs w:val="23"/>
                <w14:ligatures w14:val="none"/>
              </w:rPr>
              <w:t>ch</w:t>
            </w:r>
            <w:r w:rsidRPr="00CF6DBB">
              <w:rPr>
                <w:rFonts w:ascii="Arial" w:eastAsia="Times New Roman" w:hAnsi="Arial" w:cs="Arial"/>
                <w:color w:val="000000"/>
                <w:kern w:val="0"/>
                <w:sz w:val="23"/>
                <w:szCs w:val="23"/>
                <w14:ligatures w14:val="none"/>
              </w:rPr>
              <w:t xml:space="preserve"> 2025 (</w:t>
            </w:r>
            <w:r>
              <w:rPr>
                <w:rFonts w:ascii="Arial" w:eastAsia="Times New Roman" w:hAnsi="Arial" w:cs="Arial"/>
                <w:color w:val="000000"/>
                <w:kern w:val="0"/>
                <w:sz w:val="23"/>
                <w:szCs w:val="23"/>
                <w14:ligatures w14:val="none"/>
              </w:rPr>
              <w:t>up</w:t>
            </w:r>
            <w:r w:rsidRPr="00CF6DBB">
              <w:rPr>
                <w:rFonts w:ascii="Arial" w:eastAsia="Times New Roman" w:hAnsi="Arial" w:cs="Arial"/>
                <w:color w:val="000000"/>
                <w:kern w:val="0"/>
                <w:sz w:val="23"/>
                <w:szCs w:val="23"/>
                <w14:ligatures w14:val="none"/>
              </w:rPr>
              <w:t xml:space="preserve"> 4.2%). California remained in 2nd place with 8.37% of all US goods exports (12 month moving total), behind Texas at 20.3%.</w:t>
            </w:r>
          </w:p>
        </w:tc>
      </w:tr>
      <w:tr w:rsidR="00CF6DBB" w:rsidRPr="00CF6DBB" w14:paraId="522CD9A0" w14:textId="77777777" w:rsidTr="00E0466B">
        <w:trPr>
          <w:trHeight w:val="300"/>
        </w:trPr>
        <w:tc>
          <w:tcPr>
            <w:tcW w:w="2206" w:type="pct"/>
            <w:tcBorders>
              <w:top w:val="nil"/>
              <w:left w:val="nil"/>
              <w:bottom w:val="nil"/>
              <w:right w:val="nil"/>
            </w:tcBorders>
            <w:noWrap/>
            <w:vAlign w:val="bottom"/>
            <w:hideMark/>
          </w:tcPr>
          <w:p w14:paraId="44EEC5A0" w14:textId="77777777" w:rsidR="00CF6DBB" w:rsidRPr="00CF6DBB" w:rsidRDefault="00CF6DBB" w:rsidP="00CF6DBB">
            <w:pPr>
              <w:jc w:val="center"/>
              <w:rPr>
                <w:rFonts w:ascii="Arial" w:eastAsia="Times New Roman" w:hAnsi="Arial" w:cs="Arial"/>
                <w:color w:val="666666"/>
                <w:kern w:val="0"/>
                <w:sz w:val="20"/>
                <w:szCs w:val="20"/>
                <w14:ligatures w14:val="none"/>
              </w:rPr>
            </w:pPr>
            <w:r w:rsidRPr="00CF6DBB">
              <w:rPr>
                <w:rFonts w:ascii="Arial" w:eastAsia="Times New Roman" w:hAnsi="Arial" w:cs="Arial"/>
                <w:color w:val="666666"/>
                <w:kern w:val="0"/>
                <w:sz w:val="20"/>
                <w:szCs w:val="20"/>
                <w14:ligatures w14:val="none"/>
              </w:rPr>
              <w:t xml:space="preserve">Billion Change in Exports </w:t>
            </w:r>
          </w:p>
        </w:tc>
        <w:tc>
          <w:tcPr>
            <w:tcW w:w="2794" w:type="pct"/>
            <w:gridSpan w:val="2"/>
            <w:vMerge/>
            <w:tcBorders>
              <w:top w:val="nil"/>
              <w:left w:val="nil"/>
              <w:bottom w:val="nil"/>
              <w:right w:val="nil"/>
            </w:tcBorders>
            <w:vAlign w:val="center"/>
            <w:hideMark/>
          </w:tcPr>
          <w:p w14:paraId="17206E1C" w14:textId="77777777" w:rsidR="00CF6DBB" w:rsidRPr="00CF6DBB" w:rsidRDefault="00CF6DBB" w:rsidP="00CF6DBB">
            <w:pPr>
              <w:rPr>
                <w:rFonts w:ascii="Arial" w:eastAsia="Times New Roman" w:hAnsi="Arial" w:cs="Arial"/>
                <w:color w:val="000000"/>
                <w:kern w:val="0"/>
                <w:sz w:val="23"/>
                <w:szCs w:val="23"/>
                <w14:ligatures w14:val="none"/>
              </w:rPr>
            </w:pPr>
          </w:p>
        </w:tc>
      </w:tr>
      <w:tr w:rsidR="00CF6DBB" w:rsidRPr="00CF6DBB" w14:paraId="76A36529" w14:textId="77777777" w:rsidTr="00CF6DBB">
        <w:trPr>
          <w:trHeight w:val="300"/>
        </w:trPr>
        <w:tc>
          <w:tcPr>
            <w:tcW w:w="5000" w:type="pct"/>
            <w:gridSpan w:val="3"/>
            <w:tcBorders>
              <w:top w:val="nil"/>
              <w:left w:val="nil"/>
              <w:bottom w:val="nil"/>
              <w:right w:val="nil"/>
            </w:tcBorders>
            <w:vAlign w:val="bottom"/>
            <w:hideMark/>
          </w:tcPr>
          <w:p w14:paraId="1DA5A479" w14:textId="77777777" w:rsidR="00CF6DBB" w:rsidRPr="00CF6DBB" w:rsidRDefault="00CF6DBB" w:rsidP="00CF6DBB">
            <w:pPr>
              <w:jc w:val="center"/>
              <w:rPr>
                <w:rFonts w:ascii="Arial" w:eastAsia="Times New Roman" w:hAnsi="Arial" w:cs="Arial"/>
                <w:color w:val="666666"/>
                <w:kern w:val="0"/>
                <w:sz w:val="20"/>
                <w:szCs w:val="20"/>
                <w14:ligatures w14:val="none"/>
              </w:rPr>
            </w:pPr>
          </w:p>
        </w:tc>
      </w:tr>
      <w:tr w:rsidR="00CF6DBB" w:rsidRPr="00CF6DBB" w14:paraId="681CB455" w14:textId="77777777" w:rsidTr="00CF6DBB">
        <w:trPr>
          <w:trHeight w:val="465"/>
        </w:trPr>
        <w:tc>
          <w:tcPr>
            <w:tcW w:w="5000" w:type="pct"/>
            <w:gridSpan w:val="3"/>
            <w:tcBorders>
              <w:top w:val="nil"/>
              <w:left w:val="nil"/>
              <w:bottom w:val="nil"/>
              <w:right w:val="nil"/>
            </w:tcBorders>
            <w:vAlign w:val="center"/>
            <w:hideMark/>
          </w:tcPr>
          <w:p w14:paraId="756CC05D" w14:textId="77777777" w:rsidR="00CF6DBB" w:rsidRPr="00CF6DBB" w:rsidRDefault="00CF6DBB" w:rsidP="00CF6DBB">
            <w:pPr>
              <w:rPr>
                <w:rFonts w:ascii="Georgia" w:eastAsia="Times New Roman" w:hAnsi="Georgia" w:cs="Calibri"/>
                <w:color w:val="212121"/>
                <w:kern w:val="0"/>
                <w:sz w:val="36"/>
                <w:szCs w:val="36"/>
                <w14:ligatures w14:val="none"/>
              </w:rPr>
            </w:pPr>
            <w:r w:rsidRPr="00CF6DBB">
              <w:rPr>
                <w:rFonts w:ascii="Georgia" w:eastAsia="Times New Roman" w:hAnsi="Georgia" w:cs="Calibri"/>
                <w:color w:val="212121"/>
                <w:kern w:val="0"/>
                <w:sz w:val="36"/>
                <w:szCs w:val="36"/>
                <w14:ligatures w14:val="none"/>
              </w:rPr>
              <w:t xml:space="preserve">California Goods Imports </w:t>
            </w:r>
          </w:p>
        </w:tc>
      </w:tr>
      <w:tr w:rsidR="00CF6DBB" w:rsidRPr="00CF6DBB" w14:paraId="5F51E931" w14:textId="77777777" w:rsidTr="00E0466B">
        <w:trPr>
          <w:trHeight w:val="732"/>
        </w:trPr>
        <w:tc>
          <w:tcPr>
            <w:tcW w:w="2206" w:type="pct"/>
            <w:tcBorders>
              <w:top w:val="nil"/>
              <w:left w:val="nil"/>
              <w:bottom w:val="nil"/>
              <w:right w:val="nil"/>
            </w:tcBorders>
            <w:noWrap/>
            <w:hideMark/>
          </w:tcPr>
          <w:p w14:paraId="303F0728" w14:textId="77777777" w:rsidR="00CF6DBB" w:rsidRPr="00CF6DBB" w:rsidRDefault="00CF6DBB" w:rsidP="00CF6DBB">
            <w:pPr>
              <w:jc w:val="center"/>
              <w:rPr>
                <w:rFonts w:ascii="Arial" w:eastAsia="Times New Roman" w:hAnsi="Arial" w:cs="Arial"/>
                <w:b/>
                <w:bCs/>
                <w:color w:val="CB0911"/>
                <w:kern w:val="0"/>
                <w:sz w:val="63"/>
                <w:szCs w:val="63"/>
                <w14:ligatures w14:val="none"/>
              </w:rPr>
            </w:pPr>
            <w:r w:rsidRPr="00CF6DBB">
              <w:rPr>
                <w:rFonts w:ascii="Arial" w:eastAsia="Times New Roman" w:hAnsi="Arial" w:cs="Arial"/>
                <w:b/>
                <w:bCs/>
                <w:color w:val="0F9ED5" w:themeColor="accent4"/>
                <w:kern w:val="0"/>
                <w:sz w:val="63"/>
                <w:szCs w:val="63"/>
                <w14:ligatures w14:val="none"/>
              </w:rPr>
              <w:lastRenderedPageBreak/>
              <w:t>$2.3</w:t>
            </w:r>
          </w:p>
        </w:tc>
        <w:tc>
          <w:tcPr>
            <w:tcW w:w="2794" w:type="pct"/>
            <w:gridSpan w:val="2"/>
            <w:vMerge w:val="restart"/>
            <w:tcBorders>
              <w:top w:val="nil"/>
              <w:left w:val="nil"/>
              <w:bottom w:val="nil"/>
              <w:right w:val="nil"/>
            </w:tcBorders>
            <w:hideMark/>
          </w:tcPr>
          <w:p w14:paraId="7D02610B" w14:textId="73E0A92F" w:rsidR="00CF6DBB" w:rsidRPr="00CF6DBB" w:rsidRDefault="00CF6DBB" w:rsidP="00CF6DBB">
            <w:pPr>
              <w:rPr>
                <w:rFonts w:ascii="Arial" w:eastAsia="Times New Roman" w:hAnsi="Arial" w:cs="Arial"/>
                <w:color w:val="666666"/>
                <w:kern w:val="0"/>
                <w:sz w:val="20"/>
                <w:szCs w:val="20"/>
                <w14:ligatures w14:val="none"/>
              </w:rPr>
            </w:pPr>
            <w:r w:rsidRPr="00CF6DBB">
              <w:rPr>
                <w:rFonts w:ascii="Arial" w:eastAsia="Times New Roman" w:hAnsi="Arial" w:cs="Arial"/>
                <w:color w:val="666666"/>
                <w:kern w:val="0"/>
                <w:sz w:val="20"/>
                <w:szCs w:val="20"/>
                <w14:ligatures w14:val="none"/>
              </w:rPr>
              <w:t>Total California destination goods imports grew $2.3 billion from Mar</w:t>
            </w:r>
            <w:r>
              <w:rPr>
                <w:rFonts w:ascii="Arial" w:eastAsia="Times New Roman" w:hAnsi="Arial" w:cs="Arial"/>
                <w:color w:val="666666"/>
                <w:kern w:val="0"/>
                <w:sz w:val="20"/>
                <w:szCs w:val="20"/>
                <w14:ligatures w14:val="none"/>
              </w:rPr>
              <w:t>ch</w:t>
            </w:r>
            <w:r w:rsidRPr="00CF6DBB">
              <w:rPr>
                <w:rFonts w:ascii="Arial" w:eastAsia="Times New Roman" w:hAnsi="Arial" w:cs="Arial"/>
                <w:color w:val="666666"/>
                <w:kern w:val="0"/>
                <w:sz w:val="20"/>
                <w:szCs w:val="20"/>
                <w14:ligatures w14:val="none"/>
              </w:rPr>
              <w:t xml:space="preserve"> 2025 (up 5.6%).</w:t>
            </w:r>
          </w:p>
        </w:tc>
      </w:tr>
      <w:tr w:rsidR="00CF6DBB" w:rsidRPr="00CF6DBB" w14:paraId="496EFDB5" w14:textId="77777777" w:rsidTr="00E0466B">
        <w:trPr>
          <w:trHeight w:val="300"/>
        </w:trPr>
        <w:tc>
          <w:tcPr>
            <w:tcW w:w="2206" w:type="pct"/>
            <w:tcBorders>
              <w:top w:val="nil"/>
              <w:left w:val="nil"/>
              <w:bottom w:val="nil"/>
              <w:right w:val="nil"/>
            </w:tcBorders>
            <w:noWrap/>
            <w:vAlign w:val="bottom"/>
            <w:hideMark/>
          </w:tcPr>
          <w:p w14:paraId="646BE2ED" w14:textId="77777777" w:rsidR="00CF6DBB" w:rsidRPr="00CF6DBB" w:rsidRDefault="00CF6DBB" w:rsidP="00CF6DBB">
            <w:pPr>
              <w:jc w:val="center"/>
              <w:rPr>
                <w:rFonts w:ascii="Arial" w:eastAsia="Times New Roman" w:hAnsi="Arial" w:cs="Arial"/>
                <w:color w:val="666666"/>
                <w:kern w:val="0"/>
                <w:sz w:val="20"/>
                <w:szCs w:val="20"/>
                <w14:ligatures w14:val="none"/>
              </w:rPr>
            </w:pPr>
            <w:r w:rsidRPr="00CF6DBB">
              <w:rPr>
                <w:rFonts w:ascii="Arial" w:eastAsia="Times New Roman" w:hAnsi="Arial" w:cs="Arial"/>
                <w:color w:val="666666"/>
                <w:kern w:val="0"/>
                <w:sz w:val="20"/>
                <w:szCs w:val="20"/>
                <w14:ligatures w14:val="none"/>
              </w:rPr>
              <w:t xml:space="preserve">Billion Change in Imports </w:t>
            </w:r>
          </w:p>
        </w:tc>
        <w:tc>
          <w:tcPr>
            <w:tcW w:w="2794" w:type="pct"/>
            <w:gridSpan w:val="2"/>
            <w:vMerge/>
            <w:tcBorders>
              <w:top w:val="nil"/>
              <w:left w:val="nil"/>
              <w:bottom w:val="nil"/>
              <w:right w:val="nil"/>
            </w:tcBorders>
            <w:vAlign w:val="center"/>
            <w:hideMark/>
          </w:tcPr>
          <w:p w14:paraId="19ED8E0B" w14:textId="77777777" w:rsidR="00CF6DBB" w:rsidRPr="00CF6DBB" w:rsidRDefault="00CF6DBB" w:rsidP="00CF6DBB">
            <w:pPr>
              <w:rPr>
                <w:rFonts w:ascii="Arial" w:eastAsia="Times New Roman" w:hAnsi="Arial" w:cs="Arial"/>
                <w:color w:val="666666"/>
                <w:kern w:val="0"/>
                <w:sz w:val="20"/>
                <w:szCs w:val="20"/>
                <w14:ligatures w14:val="none"/>
              </w:rPr>
            </w:pPr>
          </w:p>
        </w:tc>
      </w:tr>
      <w:tr w:rsidR="00CF6DBB" w:rsidRPr="00CF6DBB" w14:paraId="253F5798" w14:textId="77777777" w:rsidTr="00E0466B">
        <w:trPr>
          <w:trHeight w:val="300"/>
        </w:trPr>
        <w:tc>
          <w:tcPr>
            <w:tcW w:w="2206" w:type="pct"/>
            <w:tcBorders>
              <w:top w:val="nil"/>
              <w:left w:val="nil"/>
              <w:bottom w:val="nil"/>
              <w:right w:val="nil"/>
            </w:tcBorders>
            <w:vAlign w:val="bottom"/>
            <w:hideMark/>
          </w:tcPr>
          <w:p w14:paraId="4207EE0F" w14:textId="77777777" w:rsidR="00CF6DBB" w:rsidRPr="00CF6DBB" w:rsidRDefault="00CF6DBB" w:rsidP="00CF6DBB">
            <w:pPr>
              <w:jc w:val="center"/>
              <w:rPr>
                <w:rFonts w:ascii="Arial" w:eastAsia="Times New Roman" w:hAnsi="Arial" w:cs="Arial"/>
                <w:color w:val="666666"/>
                <w:kern w:val="0"/>
                <w:sz w:val="20"/>
                <w:szCs w:val="20"/>
                <w14:ligatures w14:val="none"/>
              </w:rPr>
            </w:pPr>
          </w:p>
        </w:tc>
        <w:tc>
          <w:tcPr>
            <w:tcW w:w="1394" w:type="pct"/>
            <w:tcBorders>
              <w:top w:val="nil"/>
              <w:left w:val="nil"/>
              <w:bottom w:val="nil"/>
              <w:right w:val="nil"/>
            </w:tcBorders>
            <w:noWrap/>
            <w:vAlign w:val="bottom"/>
            <w:hideMark/>
          </w:tcPr>
          <w:p w14:paraId="45447F1B" w14:textId="77777777" w:rsidR="00CF6DBB" w:rsidRPr="00CF6DBB" w:rsidRDefault="00CF6DBB" w:rsidP="00CF6DBB">
            <w:pPr>
              <w:jc w:val="center"/>
              <w:rPr>
                <w:rFonts w:ascii="Times New Roman" w:eastAsia="Times New Roman" w:hAnsi="Times New Roman" w:cs="Times New Roman"/>
                <w:kern w:val="0"/>
                <w:sz w:val="20"/>
                <w:szCs w:val="20"/>
                <w14:ligatures w14:val="none"/>
              </w:rPr>
            </w:pPr>
          </w:p>
        </w:tc>
        <w:tc>
          <w:tcPr>
            <w:tcW w:w="1400" w:type="pct"/>
            <w:tcBorders>
              <w:top w:val="nil"/>
              <w:left w:val="nil"/>
              <w:bottom w:val="nil"/>
              <w:right w:val="nil"/>
            </w:tcBorders>
            <w:noWrap/>
            <w:vAlign w:val="bottom"/>
            <w:hideMark/>
          </w:tcPr>
          <w:p w14:paraId="6FCCF77D" w14:textId="77777777" w:rsidR="00CF6DBB" w:rsidRPr="00CF6DBB" w:rsidRDefault="00CF6DBB" w:rsidP="00CF6DBB">
            <w:pPr>
              <w:rPr>
                <w:rFonts w:ascii="Times New Roman" w:eastAsia="Times New Roman" w:hAnsi="Times New Roman" w:cs="Times New Roman"/>
                <w:kern w:val="0"/>
                <w:sz w:val="20"/>
                <w:szCs w:val="20"/>
                <w14:ligatures w14:val="none"/>
              </w:rPr>
            </w:pPr>
          </w:p>
        </w:tc>
      </w:tr>
      <w:tr w:rsidR="00CF6DBB" w:rsidRPr="00CF6DBB" w14:paraId="29813848" w14:textId="77777777" w:rsidTr="00CF6DBB">
        <w:trPr>
          <w:trHeight w:val="660"/>
        </w:trPr>
        <w:tc>
          <w:tcPr>
            <w:tcW w:w="5000" w:type="pct"/>
            <w:gridSpan w:val="3"/>
            <w:tcBorders>
              <w:top w:val="nil"/>
              <w:left w:val="nil"/>
              <w:bottom w:val="nil"/>
              <w:right w:val="nil"/>
            </w:tcBorders>
            <w:vAlign w:val="center"/>
            <w:hideMark/>
          </w:tcPr>
          <w:p w14:paraId="0A102C54" w14:textId="77777777" w:rsidR="00CF6DBB" w:rsidRPr="00CF6DBB" w:rsidRDefault="00CF6DBB" w:rsidP="00CF6DBB">
            <w:pPr>
              <w:rPr>
                <w:rFonts w:ascii="Georgia" w:eastAsia="Times New Roman" w:hAnsi="Georgia" w:cs="Calibri"/>
                <w:color w:val="212121"/>
                <w:kern w:val="0"/>
                <w:sz w:val="36"/>
                <w:szCs w:val="36"/>
                <w14:ligatures w14:val="none"/>
              </w:rPr>
            </w:pPr>
            <w:r w:rsidRPr="00CF6DBB">
              <w:rPr>
                <w:rFonts w:ascii="Georgia" w:eastAsia="Times New Roman" w:hAnsi="Georgia" w:cs="Calibri"/>
                <w:color w:val="212121"/>
                <w:kern w:val="0"/>
                <w:sz w:val="36"/>
                <w:szCs w:val="36"/>
                <w14:ligatures w14:val="none"/>
              </w:rPr>
              <w:t>Top 20 Exports, March 2026</w:t>
            </w:r>
          </w:p>
        </w:tc>
      </w:tr>
      <w:tr w:rsidR="00CF6DBB" w:rsidRPr="00CF6DBB" w14:paraId="372D5550" w14:textId="77777777" w:rsidTr="00CF6DBB">
        <w:trPr>
          <w:trHeight w:val="945"/>
        </w:trPr>
        <w:tc>
          <w:tcPr>
            <w:tcW w:w="5000" w:type="pct"/>
            <w:gridSpan w:val="3"/>
            <w:tcBorders>
              <w:top w:val="nil"/>
              <w:left w:val="nil"/>
              <w:bottom w:val="nil"/>
              <w:right w:val="nil"/>
            </w:tcBorders>
            <w:vAlign w:val="bottom"/>
            <w:hideMark/>
          </w:tcPr>
          <w:p w14:paraId="5D58EA9C"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Top 20 exports by value are shown below, along with the change from Mar 2025.</w:t>
            </w:r>
          </w:p>
        </w:tc>
      </w:tr>
      <w:tr w:rsidR="00CF6DBB" w:rsidRPr="00CF6DBB" w14:paraId="0B71E1CA" w14:textId="77777777" w:rsidTr="00E0466B">
        <w:trPr>
          <w:trHeight w:val="300"/>
        </w:trPr>
        <w:tc>
          <w:tcPr>
            <w:tcW w:w="2206" w:type="pct"/>
            <w:tcBorders>
              <w:top w:val="nil"/>
              <w:left w:val="nil"/>
              <w:bottom w:val="nil"/>
              <w:right w:val="nil"/>
            </w:tcBorders>
            <w:noWrap/>
            <w:vAlign w:val="bottom"/>
            <w:hideMark/>
          </w:tcPr>
          <w:p w14:paraId="612EB474" w14:textId="77777777" w:rsidR="00CF6DBB" w:rsidRPr="00CF6DBB" w:rsidRDefault="00CF6DBB" w:rsidP="00CF6DBB">
            <w:pPr>
              <w:rPr>
                <w:rFonts w:ascii="Arial" w:eastAsia="Times New Roman" w:hAnsi="Arial" w:cs="Arial"/>
                <w:color w:val="000000"/>
                <w:kern w:val="0"/>
                <w:sz w:val="23"/>
                <w:szCs w:val="23"/>
                <w14:ligatures w14:val="none"/>
              </w:rPr>
            </w:pPr>
          </w:p>
        </w:tc>
        <w:tc>
          <w:tcPr>
            <w:tcW w:w="1394" w:type="pct"/>
            <w:tcBorders>
              <w:top w:val="nil"/>
              <w:left w:val="nil"/>
              <w:bottom w:val="nil"/>
              <w:right w:val="nil"/>
            </w:tcBorders>
            <w:vAlign w:val="bottom"/>
            <w:hideMark/>
          </w:tcPr>
          <w:p w14:paraId="57CDB08A" w14:textId="77777777" w:rsidR="00CF6DBB" w:rsidRPr="00CF6DBB" w:rsidRDefault="00CF6DBB" w:rsidP="00CF6DBB">
            <w:pPr>
              <w:rPr>
                <w:rFonts w:ascii="Times New Roman" w:eastAsia="Times New Roman" w:hAnsi="Times New Roman" w:cs="Times New Roman"/>
                <w:kern w:val="0"/>
                <w:sz w:val="20"/>
                <w:szCs w:val="20"/>
                <w14:ligatures w14:val="none"/>
              </w:rPr>
            </w:pPr>
          </w:p>
        </w:tc>
        <w:tc>
          <w:tcPr>
            <w:tcW w:w="1400" w:type="pct"/>
            <w:tcBorders>
              <w:top w:val="nil"/>
              <w:left w:val="nil"/>
              <w:bottom w:val="nil"/>
              <w:right w:val="nil"/>
            </w:tcBorders>
            <w:noWrap/>
            <w:vAlign w:val="bottom"/>
            <w:hideMark/>
          </w:tcPr>
          <w:p w14:paraId="08FA7547" w14:textId="77777777" w:rsidR="00CF6DBB" w:rsidRPr="00CF6DBB" w:rsidRDefault="00CF6DBB" w:rsidP="00CF6DBB">
            <w:pPr>
              <w:rPr>
                <w:rFonts w:ascii="Times New Roman" w:eastAsia="Times New Roman" w:hAnsi="Times New Roman" w:cs="Times New Roman"/>
                <w:kern w:val="0"/>
                <w:sz w:val="20"/>
                <w:szCs w:val="20"/>
                <w14:ligatures w14:val="none"/>
              </w:rPr>
            </w:pPr>
          </w:p>
        </w:tc>
      </w:tr>
      <w:tr w:rsidR="00CF6DBB" w:rsidRPr="00CF6DBB" w14:paraId="333479E5" w14:textId="77777777" w:rsidTr="00E0466B">
        <w:trPr>
          <w:trHeight w:val="312"/>
        </w:trPr>
        <w:tc>
          <w:tcPr>
            <w:tcW w:w="2206" w:type="pct"/>
            <w:tcBorders>
              <w:top w:val="nil"/>
              <w:left w:val="nil"/>
              <w:bottom w:val="nil"/>
              <w:right w:val="nil"/>
            </w:tcBorders>
            <w:noWrap/>
            <w:vAlign w:val="bottom"/>
            <w:hideMark/>
          </w:tcPr>
          <w:p w14:paraId="2AEFB051" w14:textId="77777777" w:rsidR="00CF6DBB" w:rsidRPr="00CF6DBB" w:rsidRDefault="00CF6DBB" w:rsidP="00CF6DBB">
            <w:pPr>
              <w:rPr>
                <w:rFonts w:ascii="Arial" w:eastAsia="Times New Roman" w:hAnsi="Arial" w:cs="Arial"/>
                <w:b/>
                <w:bCs/>
                <w:color w:val="000000"/>
                <w:kern w:val="0"/>
                <w:sz w:val="23"/>
                <w:szCs w:val="23"/>
                <w14:ligatures w14:val="none"/>
              </w:rPr>
            </w:pPr>
            <w:r w:rsidRPr="00CF6DBB">
              <w:rPr>
                <w:rFonts w:ascii="Arial" w:eastAsia="Times New Roman" w:hAnsi="Arial" w:cs="Arial"/>
                <w:b/>
                <w:bCs/>
                <w:color w:val="000000"/>
                <w:kern w:val="0"/>
                <w:sz w:val="23"/>
                <w:szCs w:val="23"/>
                <w14:ligatures w14:val="none"/>
              </w:rPr>
              <w:t>NAICS Commodity</w:t>
            </w:r>
          </w:p>
        </w:tc>
        <w:tc>
          <w:tcPr>
            <w:tcW w:w="1394" w:type="pct"/>
            <w:tcBorders>
              <w:top w:val="nil"/>
              <w:left w:val="nil"/>
              <w:bottom w:val="nil"/>
              <w:right w:val="nil"/>
            </w:tcBorders>
            <w:noWrap/>
            <w:vAlign w:val="bottom"/>
            <w:hideMark/>
          </w:tcPr>
          <w:p w14:paraId="484BD42A" w14:textId="77777777" w:rsidR="00CF6DBB" w:rsidRPr="00CF6DBB" w:rsidRDefault="00CF6DBB" w:rsidP="00CF6DBB">
            <w:pPr>
              <w:rPr>
                <w:rFonts w:ascii="Arial" w:eastAsia="Times New Roman" w:hAnsi="Arial" w:cs="Arial"/>
                <w:b/>
                <w:bCs/>
                <w:color w:val="000000"/>
                <w:kern w:val="0"/>
                <w:sz w:val="23"/>
                <w:szCs w:val="23"/>
                <w14:ligatures w14:val="none"/>
              </w:rPr>
            </w:pPr>
            <w:r w:rsidRPr="00CF6DBB">
              <w:rPr>
                <w:rFonts w:ascii="Arial" w:eastAsia="Times New Roman" w:hAnsi="Arial" w:cs="Arial"/>
                <w:b/>
                <w:bCs/>
                <w:color w:val="000000"/>
                <w:kern w:val="0"/>
                <w:sz w:val="23"/>
                <w:szCs w:val="23"/>
                <w14:ligatures w14:val="none"/>
              </w:rPr>
              <w:t>Mar 2026 Exports ($b.)</w:t>
            </w:r>
          </w:p>
        </w:tc>
        <w:tc>
          <w:tcPr>
            <w:tcW w:w="1400" w:type="pct"/>
            <w:tcBorders>
              <w:top w:val="nil"/>
              <w:left w:val="nil"/>
              <w:bottom w:val="nil"/>
              <w:right w:val="nil"/>
            </w:tcBorders>
            <w:noWrap/>
            <w:vAlign w:val="bottom"/>
            <w:hideMark/>
          </w:tcPr>
          <w:p w14:paraId="201726B4" w14:textId="77777777" w:rsidR="00CF6DBB" w:rsidRPr="00CF6DBB" w:rsidRDefault="00CF6DBB" w:rsidP="00CF6DBB">
            <w:pPr>
              <w:rPr>
                <w:rFonts w:ascii="Arial" w:eastAsia="Times New Roman" w:hAnsi="Arial" w:cs="Arial"/>
                <w:b/>
                <w:bCs/>
                <w:color w:val="000000"/>
                <w:kern w:val="0"/>
                <w:sz w:val="23"/>
                <w:szCs w:val="23"/>
                <w14:ligatures w14:val="none"/>
              </w:rPr>
            </w:pPr>
            <w:r w:rsidRPr="00CF6DBB">
              <w:rPr>
                <w:rFonts w:ascii="Arial" w:eastAsia="Times New Roman" w:hAnsi="Arial" w:cs="Arial"/>
                <w:b/>
                <w:bCs/>
                <w:color w:val="000000"/>
                <w:kern w:val="0"/>
                <w:sz w:val="23"/>
                <w:szCs w:val="23"/>
                <w14:ligatures w14:val="none"/>
              </w:rPr>
              <w:t>Change from Mar 2025</w:t>
            </w:r>
          </w:p>
        </w:tc>
      </w:tr>
      <w:tr w:rsidR="00CF6DBB" w:rsidRPr="00CF6DBB" w14:paraId="50310024" w14:textId="77777777" w:rsidTr="00E0466B">
        <w:trPr>
          <w:trHeight w:val="270"/>
        </w:trPr>
        <w:tc>
          <w:tcPr>
            <w:tcW w:w="2206" w:type="pct"/>
            <w:tcBorders>
              <w:top w:val="nil"/>
              <w:left w:val="nil"/>
              <w:bottom w:val="nil"/>
              <w:right w:val="nil"/>
            </w:tcBorders>
            <w:vAlign w:val="bottom"/>
            <w:hideMark/>
          </w:tcPr>
          <w:p w14:paraId="7F3509FF"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Computer Equipment</w:t>
            </w:r>
          </w:p>
        </w:tc>
        <w:tc>
          <w:tcPr>
            <w:tcW w:w="1394" w:type="pct"/>
            <w:tcBorders>
              <w:top w:val="nil"/>
              <w:left w:val="nil"/>
              <w:bottom w:val="nil"/>
              <w:right w:val="nil"/>
            </w:tcBorders>
            <w:vAlign w:val="bottom"/>
            <w:hideMark/>
          </w:tcPr>
          <w:p w14:paraId="30CD8A9A"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$2.2</w:t>
            </w:r>
          </w:p>
        </w:tc>
        <w:tc>
          <w:tcPr>
            <w:tcW w:w="1400" w:type="pct"/>
            <w:tcBorders>
              <w:top w:val="nil"/>
              <w:left w:val="nil"/>
              <w:bottom w:val="nil"/>
              <w:right w:val="nil"/>
            </w:tcBorders>
            <w:vAlign w:val="bottom"/>
            <w:hideMark/>
          </w:tcPr>
          <w:p w14:paraId="584AFF4D"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34.0%</w:t>
            </w:r>
          </w:p>
        </w:tc>
      </w:tr>
      <w:tr w:rsidR="00CF6DBB" w:rsidRPr="00CF6DBB" w14:paraId="462DC5AC" w14:textId="77777777" w:rsidTr="00E0466B">
        <w:trPr>
          <w:trHeight w:val="300"/>
        </w:trPr>
        <w:tc>
          <w:tcPr>
            <w:tcW w:w="2206" w:type="pct"/>
            <w:tcBorders>
              <w:top w:val="nil"/>
              <w:left w:val="nil"/>
              <w:bottom w:val="nil"/>
              <w:right w:val="nil"/>
            </w:tcBorders>
            <w:vAlign w:val="bottom"/>
            <w:hideMark/>
          </w:tcPr>
          <w:p w14:paraId="02DF56C0"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Fruits &amp; Tree Nuts</w:t>
            </w:r>
          </w:p>
        </w:tc>
        <w:tc>
          <w:tcPr>
            <w:tcW w:w="1394" w:type="pct"/>
            <w:tcBorders>
              <w:top w:val="nil"/>
              <w:left w:val="nil"/>
              <w:bottom w:val="nil"/>
              <w:right w:val="nil"/>
            </w:tcBorders>
            <w:vAlign w:val="bottom"/>
            <w:hideMark/>
          </w:tcPr>
          <w:p w14:paraId="4D0FA5EB"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1.4</w:t>
            </w:r>
          </w:p>
        </w:tc>
        <w:tc>
          <w:tcPr>
            <w:tcW w:w="1400" w:type="pct"/>
            <w:tcBorders>
              <w:top w:val="nil"/>
              <w:left w:val="nil"/>
              <w:bottom w:val="nil"/>
              <w:right w:val="nil"/>
            </w:tcBorders>
            <w:vAlign w:val="bottom"/>
            <w:hideMark/>
          </w:tcPr>
          <w:p w14:paraId="6C5CFB9E"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34.3%</w:t>
            </w:r>
          </w:p>
        </w:tc>
      </w:tr>
      <w:tr w:rsidR="00CF6DBB" w:rsidRPr="00CF6DBB" w14:paraId="46D23FB7" w14:textId="77777777" w:rsidTr="00E0466B">
        <w:trPr>
          <w:trHeight w:val="585"/>
        </w:trPr>
        <w:tc>
          <w:tcPr>
            <w:tcW w:w="2206" w:type="pct"/>
            <w:tcBorders>
              <w:top w:val="nil"/>
              <w:left w:val="nil"/>
              <w:bottom w:val="nil"/>
              <w:right w:val="nil"/>
            </w:tcBorders>
            <w:vAlign w:val="bottom"/>
            <w:hideMark/>
          </w:tcPr>
          <w:p w14:paraId="65053944"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Semiconductors &amp; Other Electronic Components</w:t>
            </w:r>
          </w:p>
        </w:tc>
        <w:tc>
          <w:tcPr>
            <w:tcW w:w="1394" w:type="pct"/>
            <w:tcBorders>
              <w:top w:val="nil"/>
              <w:left w:val="nil"/>
              <w:bottom w:val="nil"/>
              <w:right w:val="nil"/>
            </w:tcBorders>
            <w:vAlign w:val="bottom"/>
            <w:hideMark/>
          </w:tcPr>
          <w:p w14:paraId="1472C11E"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0.9</w:t>
            </w:r>
          </w:p>
        </w:tc>
        <w:tc>
          <w:tcPr>
            <w:tcW w:w="1400" w:type="pct"/>
            <w:tcBorders>
              <w:top w:val="nil"/>
              <w:left w:val="nil"/>
              <w:bottom w:val="nil"/>
              <w:right w:val="nil"/>
            </w:tcBorders>
            <w:vAlign w:val="bottom"/>
            <w:hideMark/>
          </w:tcPr>
          <w:p w14:paraId="11676675"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22.9%</w:t>
            </w:r>
          </w:p>
        </w:tc>
      </w:tr>
      <w:tr w:rsidR="00CF6DBB" w:rsidRPr="00CF6DBB" w14:paraId="46937010" w14:textId="77777777" w:rsidTr="00E0466B">
        <w:trPr>
          <w:trHeight w:val="315"/>
        </w:trPr>
        <w:tc>
          <w:tcPr>
            <w:tcW w:w="2206" w:type="pct"/>
            <w:tcBorders>
              <w:top w:val="nil"/>
              <w:left w:val="nil"/>
              <w:bottom w:val="nil"/>
              <w:right w:val="nil"/>
            </w:tcBorders>
            <w:vAlign w:val="bottom"/>
            <w:hideMark/>
          </w:tcPr>
          <w:p w14:paraId="0AE32594"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Aerospace Products &amp; Parts</w:t>
            </w:r>
          </w:p>
        </w:tc>
        <w:tc>
          <w:tcPr>
            <w:tcW w:w="1394" w:type="pct"/>
            <w:tcBorders>
              <w:top w:val="nil"/>
              <w:left w:val="nil"/>
              <w:bottom w:val="nil"/>
              <w:right w:val="nil"/>
            </w:tcBorders>
            <w:vAlign w:val="bottom"/>
            <w:hideMark/>
          </w:tcPr>
          <w:p w14:paraId="472546ED"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0.9</w:t>
            </w:r>
          </w:p>
        </w:tc>
        <w:tc>
          <w:tcPr>
            <w:tcW w:w="1400" w:type="pct"/>
            <w:tcBorders>
              <w:top w:val="nil"/>
              <w:left w:val="nil"/>
              <w:bottom w:val="nil"/>
              <w:right w:val="nil"/>
            </w:tcBorders>
            <w:vAlign w:val="bottom"/>
            <w:hideMark/>
          </w:tcPr>
          <w:p w14:paraId="7C1ED9B8"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-4.4%</w:t>
            </w:r>
          </w:p>
        </w:tc>
      </w:tr>
      <w:tr w:rsidR="00CF6DBB" w:rsidRPr="00CF6DBB" w14:paraId="00DBB963" w14:textId="77777777" w:rsidTr="00E0466B">
        <w:trPr>
          <w:trHeight w:val="312"/>
        </w:trPr>
        <w:tc>
          <w:tcPr>
            <w:tcW w:w="2206" w:type="pct"/>
            <w:tcBorders>
              <w:top w:val="nil"/>
              <w:left w:val="nil"/>
              <w:bottom w:val="nil"/>
              <w:right w:val="nil"/>
            </w:tcBorders>
            <w:vAlign w:val="bottom"/>
            <w:hideMark/>
          </w:tcPr>
          <w:p w14:paraId="213EF858"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Navigational/measuring/medical/control Instrument</w:t>
            </w:r>
          </w:p>
        </w:tc>
        <w:tc>
          <w:tcPr>
            <w:tcW w:w="1394" w:type="pct"/>
            <w:tcBorders>
              <w:top w:val="nil"/>
              <w:left w:val="nil"/>
              <w:bottom w:val="nil"/>
              <w:right w:val="nil"/>
            </w:tcBorders>
            <w:vAlign w:val="bottom"/>
            <w:hideMark/>
          </w:tcPr>
          <w:p w14:paraId="07CA1C57"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0.9</w:t>
            </w:r>
          </w:p>
        </w:tc>
        <w:tc>
          <w:tcPr>
            <w:tcW w:w="1400" w:type="pct"/>
            <w:tcBorders>
              <w:top w:val="nil"/>
              <w:left w:val="nil"/>
              <w:bottom w:val="nil"/>
              <w:right w:val="nil"/>
            </w:tcBorders>
            <w:vAlign w:val="bottom"/>
            <w:hideMark/>
          </w:tcPr>
          <w:p w14:paraId="6FADFD4F"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-5.8%</w:t>
            </w:r>
          </w:p>
        </w:tc>
      </w:tr>
      <w:tr w:rsidR="00CF6DBB" w:rsidRPr="00CF6DBB" w14:paraId="1761F673" w14:textId="77777777" w:rsidTr="00E0466B">
        <w:trPr>
          <w:trHeight w:val="360"/>
        </w:trPr>
        <w:tc>
          <w:tcPr>
            <w:tcW w:w="2206" w:type="pct"/>
            <w:tcBorders>
              <w:top w:val="nil"/>
              <w:left w:val="nil"/>
              <w:bottom w:val="nil"/>
              <w:right w:val="nil"/>
            </w:tcBorders>
            <w:vAlign w:val="bottom"/>
            <w:hideMark/>
          </w:tcPr>
          <w:p w14:paraId="0863BDD8"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Pharmaceuticals &amp; Medicines</w:t>
            </w:r>
          </w:p>
        </w:tc>
        <w:tc>
          <w:tcPr>
            <w:tcW w:w="1394" w:type="pct"/>
            <w:tcBorders>
              <w:top w:val="nil"/>
              <w:left w:val="nil"/>
              <w:bottom w:val="nil"/>
              <w:right w:val="nil"/>
            </w:tcBorders>
            <w:vAlign w:val="bottom"/>
            <w:hideMark/>
          </w:tcPr>
          <w:p w14:paraId="7576C7C1"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0.9</w:t>
            </w:r>
          </w:p>
        </w:tc>
        <w:tc>
          <w:tcPr>
            <w:tcW w:w="1400" w:type="pct"/>
            <w:tcBorders>
              <w:top w:val="nil"/>
              <w:left w:val="nil"/>
              <w:bottom w:val="nil"/>
              <w:right w:val="nil"/>
            </w:tcBorders>
            <w:vAlign w:val="bottom"/>
            <w:hideMark/>
          </w:tcPr>
          <w:p w14:paraId="68DA3CF8"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-1.8%</w:t>
            </w:r>
          </w:p>
        </w:tc>
      </w:tr>
      <w:tr w:rsidR="00CF6DBB" w:rsidRPr="00CF6DBB" w14:paraId="3E28A57C" w14:textId="77777777" w:rsidTr="00E0466B">
        <w:trPr>
          <w:trHeight w:val="300"/>
        </w:trPr>
        <w:tc>
          <w:tcPr>
            <w:tcW w:w="2206" w:type="pct"/>
            <w:tcBorders>
              <w:top w:val="nil"/>
              <w:left w:val="nil"/>
              <w:bottom w:val="nil"/>
              <w:right w:val="nil"/>
            </w:tcBorders>
            <w:vAlign w:val="bottom"/>
            <w:hideMark/>
          </w:tcPr>
          <w:p w14:paraId="24385306"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Communications Equipment</w:t>
            </w:r>
          </w:p>
        </w:tc>
        <w:tc>
          <w:tcPr>
            <w:tcW w:w="1394" w:type="pct"/>
            <w:tcBorders>
              <w:top w:val="nil"/>
              <w:left w:val="nil"/>
              <w:bottom w:val="nil"/>
              <w:right w:val="nil"/>
            </w:tcBorders>
            <w:vAlign w:val="bottom"/>
            <w:hideMark/>
          </w:tcPr>
          <w:p w14:paraId="1FD5DE54"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0.7</w:t>
            </w:r>
          </w:p>
        </w:tc>
        <w:tc>
          <w:tcPr>
            <w:tcW w:w="1400" w:type="pct"/>
            <w:tcBorders>
              <w:top w:val="nil"/>
              <w:left w:val="nil"/>
              <w:bottom w:val="nil"/>
              <w:right w:val="nil"/>
            </w:tcBorders>
            <w:vAlign w:val="bottom"/>
            <w:hideMark/>
          </w:tcPr>
          <w:p w14:paraId="6ABF0B7D"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11.8%</w:t>
            </w:r>
          </w:p>
        </w:tc>
      </w:tr>
      <w:tr w:rsidR="00CF6DBB" w:rsidRPr="00CF6DBB" w14:paraId="4F9C95D1" w14:textId="77777777" w:rsidTr="00E0466B">
        <w:trPr>
          <w:trHeight w:val="315"/>
        </w:trPr>
        <w:tc>
          <w:tcPr>
            <w:tcW w:w="2206" w:type="pct"/>
            <w:tcBorders>
              <w:top w:val="nil"/>
              <w:left w:val="nil"/>
              <w:bottom w:val="nil"/>
              <w:right w:val="nil"/>
            </w:tcBorders>
            <w:vAlign w:val="bottom"/>
            <w:hideMark/>
          </w:tcPr>
          <w:p w14:paraId="38614F2D"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Medical Equipment &amp; Supplies</w:t>
            </w:r>
          </w:p>
        </w:tc>
        <w:tc>
          <w:tcPr>
            <w:tcW w:w="1394" w:type="pct"/>
            <w:tcBorders>
              <w:top w:val="nil"/>
              <w:left w:val="nil"/>
              <w:bottom w:val="nil"/>
              <w:right w:val="nil"/>
            </w:tcBorders>
            <w:vAlign w:val="bottom"/>
            <w:hideMark/>
          </w:tcPr>
          <w:p w14:paraId="082755FB"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0.5</w:t>
            </w:r>
          </w:p>
        </w:tc>
        <w:tc>
          <w:tcPr>
            <w:tcW w:w="1400" w:type="pct"/>
            <w:tcBorders>
              <w:top w:val="nil"/>
              <w:left w:val="nil"/>
              <w:bottom w:val="nil"/>
              <w:right w:val="nil"/>
            </w:tcBorders>
            <w:vAlign w:val="bottom"/>
            <w:hideMark/>
          </w:tcPr>
          <w:p w14:paraId="681A2F7C"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-5.4%</w:t>
            </w:r>
          </w:p>
        </w:tc>
      </w:tr>
      <w:tr w:rsidR="00CF6DBB" w:rsidRPr="00CF6DBB" w14:paraId="705C762C" w14:textId="77777777" w:rsidTr="00E0466B">
        <w:trPr>
          <w:trHeight w:val="300"/>
        </w:trPr>
        <w:tc>
          <w:tcPr>
            <w:tcW w:w="2206" w:type="pct"/>
            <w:tcBorders>
              <w:top w:val="nil"/>
              <w:left w:val="nil"/>
              <w:bottom w:val="nil"/>
              <w:right w:val="nil"/>
            </w:tcBorders>
            <w:vAlign w:val="bottom"/>
            <w:hideMark/>
          </w:tcPr>
          <w:p w14:paraId="452C50BC" w14:textId="6E1E2B30"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Waste </w:t>
            </w:r>
            <w:r>
              <w:rPr>
                <w:rFonts w:ascii="Arial" w:eastAsia="Times New Roman" w:hAnsi="Arial" w:cs="Arial"/>
                <w:color w:val="000000"/>
                <w:kern w:val="0"/>
                <w:sz w:val="23"/>
                <w:szCs w:val="23"/>
                <w14:ligatures w14:val="none"/>
              </w:rPr>
              <w:t>&amp;</w:t>
            </w:r>
            <w:r w:rsidRPr="00CF6DBB">
              <w:rPr>
                <w:rFonts w:ascii="Arial" w:eastAsia="Times New Roman" w:hAnsi="Arial" w:cs="Arial"/>
                <w:color w:val="000000"/>
                <w:kern w:val="0"/>
                <w:sz w:val="23"/>
                <w:szCs w:val="23"/>
                <w14:ligatures w14:val="none"/>
              </w:rPr>
              <w:t xml:space="preserve"> Scrap</w:t>
            </w:r>
          </w:p>
        </w:tc>
        <w:tc>
          <w:tcPr>
            <w:tcW w:w="1394" w:type="pct"/>
            <w:tcBorders>
              <w:top w:val="nil"/>
              <w:left w:val="nil"/>
              <w:bottom w:val="nil"/>
              <w:right w:val="nil"/>
            </w:tcBorders>
            <w:vAlign w:val="bottom"/>
            <w:hideMark/>
          </w:tcPr>
          <w:p w14:paraId="50222605"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0.5</w:t>
            </w:r>
          </w:p>
        </w:tc>
        <w:tc>
          <w:tcPr>
            <w:tcW w:w="1400" w:type="pct"/>
            <w:tcBorders>
              <w:top w:val="nil"/>
              <w:left w:val="nil"/>
              <w:bottom w:val="nil"/>
              <w:right w:val="nil"/>
            </w:tcBorders>
            <w:vAlign w:val="bottom"/>
            <w:hideMark/>
          </w:tcPr>
          <w:p w14:paraId="491972F8"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33.4%</w:t>
            </w:r>
          </w:p>
        </w:tc>
      </w:tr>
      <w:tr w:rsidR="00CF6DBB" w:rsidRPr="00CF6DBB" w14:paraId="0281C26A" w14:textId="77777777" w:rsidTr="00E0466B">
        <w:trPr>
          <w:trHeight w:val="300"/>
        </w:trPr>
        <w:tc>
          <w:tcPr>
            <w:tcW w:w="2206" w:type="pct"/>
            <w:tcBorders>
              <w:top w:val="nil"/>
              <w:left w:val="nil"/>
              <w:bottom w:val="nil"/>
              <w:right w:val="nil"/>
            </w:tcBorders>
            <w:vAlign w:val="bottom"/>
            <w:hideMark/>
          </w:tcPr>
          <w:p w14:paraId="262E6D46"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Industrial Machinery</w:t>
            </w:r>
          </w:p>
        </w:tc>
        <w:tc>
          <w:tcPr>
            <w:tcW w:w="1394" w:type="pct"/>
            <w:tcBorders>
              <w:top w:val="nil"/>
              <w:left w:val="nil"/>
              <w:bottom w:val="nil"/>
              <w:right w:val="nil"/>
            </w:tcBorders>
            <w:vAlign w:val="bottom"/>
            <w:hideMark/>
          </w:tcPr>
          <w:p w14:paraId="5E22D07F"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0.5</w:t>
            </w:r>
          </w:p>
        </w:tc>
        <w:tc>
          <w:tcPr>
            <w:tcW w:w="1400" w:type="pct"/>
            <w:tcBorders>
              <w:top w:val="nil"/>
              <w:left w:val="nil"/>
              <w:bottom w:val="nil"/>
              <w:right w:val="nil"/>
            </w:tcBorders>
            <w:vAlign w:val="bottom"/>
            <w:hideMark/>
          </w:tcPr>
          <w:p w14:paraId="78A58F92"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0.9%</w:t>
            </w:r>
          </w:p>
        </w:tc>
      </w:tr>
      <w:tr w:rsidR="00CF6DBB" w:rsidRPr="00CF6DBB" w14:paraId="3CAE15FF" w14:textId="77777777" w:rsidTr="00E0466B">
        <w:trPr>
          <w:trHeight w:val="300"/>
        </w:trPr>
        <w:tc>
          <w:tcPr>
            <w:tcW w:w="2206" w:type="pct"/>
            <w:tcBorders>
              <w:top w:val="nil"/>
              <w:left w:val="nil"/>
              <w:bottom w:val="nil"/>
              <w:right w:val="nil"/>
            </w:tcBorders>
            <w:vAlign w:val="bottom"/>
            <w:hideMark/>
          </w:tcPr>
          <w:p w14:paraId="470BFF0D"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Electrical Equipment &amp; Components, </w:t>
            </w:r>
            <w:proofErr w:type="spellStart"/>
            <w:r w:rsidRPr="00CF6DBB">
              <w:rPr>
                <w:rFonts w:ascii="Arial" w:eastAsia="Times New Roman" w:hAnsi="Arial" w:cs="Arial"/>
                <w:color w:val="000000"/>
                <w:kern w:val="0"/>
                <w:sz w:val="23"/>
                <w:szCs w:val="23"/>
                <w14:ligatures w14:val="none"/>
              </w:rPr>
              <w:t>Nesoi</w:t>
            </w:r>
            <w:proofErr w:type="spellEnd"/>
          </w:p>
        </w:tc>
        <w:tc>
          <w:tcPr>
            <w:tcW w:w="1394" w:type="pct"/>
            <w:tcBorders>
              <w:top w:val="nil"/>
              <w:left w:val="nil"/>
              <w:bottom w:val="nil"/>
              <w:right w:val="nil"/>
            </w:tcBorders>
            <w:vAlign w:val="bottom"/>
            <w:hideMark/>
          </w:tcPr>
          <w:p w14:paraId="32446573"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0.4</w:t>
            </w:r>
          </w:p>
        </w:tc>
        <w:tc>
          <w:tcPr>
            <w:tcW w:w="1400" w:type="pct"/>
            <w:tcBorders>
              <w:top w:val="nil"/>
              <w:left w:val="nil"/>
              <w:bottom w:val="nil"/>
              <w:right w:val="nil"/>
            </w:tcBorders>
            <w:vAlign w:val="bottom"/>
            <w:hideMark/>
          </w:tcPr>
          <w:p w14:paraId="04F4C173"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-23.8%</w:t>
            </w:r>
          </w:p>
        </w:tc>
      </w:tr>
      <w:tr w:rsidR="00CF6DBB" w:rsidRPr="00CF6DBB" w14:paraId="4FAAB49B" w14:textId="77777777" w:rsidTr="00E0466B">
        <w:trPr>
          <w:trHeight w:val="300"/>
        </w:trPr>
        <w:tc>
          <w:tcPr>
            <w:tcW w:w="2206" w:type="pct"/>
            <w:tcBorders>
              <w:top w:val="nil"/>
              <w:left w:val="nil"/>
              <w:bottom w:val="nil"/>
              <w:right w:val="nil"/>
            </w:tcBorders>
            <w:vAlign w:val="bottom"/>
            <w:hideMark/>
          </w:tcPr>
          <w:p w14:paraId="7D8E9A78"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Petroleum &amp; Coal Products</w:t>
            </w:r>
          </w:p>
        </w:tc>
        <w:tc>
          <w:tcPr>
            <w:tcW w:w="1394" w:type="pct"/>
            <w:tcBorders>
              <w:top w:val="nil"/>
              <w:left w:val="nil"/>
              <w:bottom w:val="nil"/>
              <w:right w:val="nil"/>
            </w:tcBorders>
            <w:vAlign w:val="bottom"/>
            <w:hideMark/>
          </w:tcPr>
          <w:p w14:paraId="62C8EEB2"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0.4</w:t>
            </w:r>
          </w:p>
        </w:tc>
        <w:tc>
          <w:tcPr>
            <w:tcW w:w="1400" w:type="pct"/>
            <w:tcBorders>
              <w:top w:val="nil"/>
              <w:left w:val="nil"/>
              <w:bottom w:val="nil"/>
              <w:right w:val="nil"/>
            </w:tcBorders>
            <w:vAlign w:val="bottom"/>
            <w:hideMark/>
          </w:tcPr>
          <w:p w14:paraId="5179FB4E"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-23.8%</w:t>
            </w:r>
          </w:p>
        </w:tc>
      </w:tr>
      <w:tr w:rsidR="00CF6DBB" w:rsidRPr="00CF6DBB" w14:paraId="3B0345EE" w14:textId="77777777" w:rsidTr="00E0466B">
        <w:trPr>
          <w:trHeight w:val="285"/>
        </w:trPr>
        <w:tc>
          <w:tcPr>
            <w:tcW w:w="2206" w:type="pct"/>
            <w:tcBorders>
              <w:top w:val="nil"/>
              <w:left w:val="nil"/>
              <w:bottom w:val="nil"/>
              <w:right w:val="nil"/>
            </w:tcBorders>
            <w:vAlign w:val="bottom"/>
            <w:hideMark/>
          </w:tcPr>
          <w:p w14:paraId="62DF6CE8"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Commercial &amp; Service Industry Machinery</w:t>
            </w:r>
          </w:p>
        </w:tc>
        <w:tc>
          <w:tcPr>
            <w:tcW w:w="1394" w:type="pct"/>
            <w:tcBorders>
              <w:top w:val="nil"/>
              <w:left w:val="nil"/>
              <w:bottom w:val="nil"/>
              <w:right w:val="nil"/>
            </w:tcBorders>
            <w:vAlign w:val="bottom"/>
            <w:hideMark/>
          </w:tcPr>
          <w:p w14:paraId="3061EEE0"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0.4</w:t>
            </w:r>
          </w:p>
        </w:tc>
        <w:tc>
          <w:tcPr>
            <w:tcW w:w="1400" w:type="pct"/>
            <w:tcBorders>
              <w:top w:val="nil"/>
              <w:left w:val="nil"/>
              <w:bottom w:val="nil"/>
              <w:right w:val="nil"/>
            </w:tcBorders>
            <w:vAlign w:val="bottom"/>
            <w:hideMark/>
          </w:tcPr>
          <w:p w14:paraId="3815E51C"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-8.2%</w:t>
            </w:r>
          </w:p>
        </w:tc>
      </w:tr>
      <w:tr w:rsidR="00CF6DBB" w:rsidRPr="00CF6DBB" w14:paraId="1A29700F" w14:textId="77777777" w:rsidTr="00E0466B">
        <w:trPr>
          <w:trHeight w:val="255"/>
        </w:trPr>
        <w:tc>
          <w:tcPr>
            <w:tcW w:w="2206" w:type="pct"/>
            <w:tcBorders>
              <w:top w:val="nil"/>
              <w:left w:val="nil"/>
              <w:bottom w:val="nil"/>
              <w:right w:val="nil"/>
            </w:tcBorders>
            <w:vAlign w:val="bottom"/>
            <w:hideMark/>
          </w:tcPr>
          <w:p w14:paraId="079E7E60"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Nonferrous (</w:t>
            </w:r>
            <w:proofErr w:type="spellStart"/>
            <w:r w:rsidRPr="00CF6DBB">
              <w:rPr>
                <w:rFonts w:ascii="Arial" w:eastAsia="Times New Roman" w:hAnsi="Arial" w:cs="Arial"/>
                <w:color w:val="000000"/>
                <w:kern w:val="0"/>
                <w:sz w:val="23"/>
                <w:szCs w:val="23"/>
                <w14:ligatures w14:val="none"/>
              </w:rPr>
              <w:t>exc</w:t>
            </w:r>
            <w:proofErr w:type="spellEnd"/>
            <w:r w:rsidRPr="00CF6DBB">
              <w:rPr>
                <w:rFonts w:ascii="Arial" w:eastAsia="Times New Roman" w:hAnsi="Arial" w:cs="Arial"/>
                <w:color w:val="000000"/>
                <w:kern w:val="0"/>
                <w:sz w:val="23"/>
                <w:szCs w:val="23"/>
                <w14:ligatures w14:val="none"/>
              </w:rPr>
              <w:t xml:space="preserve"> Alum) &amp; Processing</w:t>
            </w:r>
          </w:p>
        </w:tc>
        <w:tc>
          <w:tcPr>
            <w:tcW w:w="1394" w:type="pct"/>
            <w:tcBorders>
              <w:top w:val="nil"/>
              <w:left w:val="nil"/>
              <w:bottom w:val="nil"/>
              <w:right w:val="nil"/>
            </w:tcBorders>
            <w:vAlign w:val="bottom"/>
            <w:hideMark/>
          </w:tcPr>
          <w:p w14:paraId="6662E437"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0.4</w:t>
            </w:r>
          </w:p>
        </w:tc>
        <w:tc>
          <w:tcPr>
            <w:tcW w:w="1400" w:type="pct"/>
            <w:tcBorders>
              <w:top w:val="nil"/>
              <w:left w:val="nil"/>
              <w:bottom w:val="nil"/>
              <w:right w:val="nil"/>
            </w:tcBorders>
            <w:vAlign w:val="bottom"/>
            <w:hideMark/>
          </w:tcPr>
          <w:p w14:paraId="7ADA0CC9"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115.5%</w:t>
            </w:r>
          </w:p>
        </w:tc>
      </w:tr>
      <w:tr w:rsidR="00CF6DBB" w:rsidRPr="00CF6DBB" w14:paraId="33611DA9" w14:textId="77777777" w:rsidTr="00E0466B">
        <w:trPr>
          <w:trHeight w:val="300"/>
        </w:trPr>
        <w:tc>
          <w:tcPr>
            <w:tcW w:w="2206" w:type="pct"/>
            <w:tcBorders>
              <w:top w:val="nil"/>
              <w:left w:val="nil"/>
              <w:bottom w:val="nil"/>
              <w:right w:val="nil"/>
            </w:tcBorders>
            <w:vAlign w:val="bottom"/>
            <w:hideMark/>
          </w:tcPr>
          <w:p w14:paraId="42BCBECC"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Used Or Second-hand Merchandise</w:t>
            </w:r>
          </w:p>
        </w:tc>
        <w:tc>
          <w:tcPr>
            <w:tcW w:w="1394" w:type="pct"/>
            <w:tcBorders>
              <w:top w:val="nil"/>
              <w:left w:val="nil"/>
              <w:bottom w:val="nil"/>
              <w:right w:val="nil"/>
            </w:tcBorders>
            <w:vAlign w:val="bottom"/>
            <w:hideMark/>
          </w:tcPr>
          <w:p w14:paraId="5DF07FA9"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0.3</w:t>
            </w:r>
          </w:p>
        </w:tc>
        <w:tc>
          <w:tcPr>
            <w:tcW w:w="1400" w:type="pct"/>
            <w:tcBorders>
              <w:top w:val="nil"/>
              <w:left w:val="nil"/>
              <w:bottom w:val="nil"/>
              <w:right w:val="nil"/>
            </w:tcBorders>
            <w:vAlign w:val="bottom"/>
            <w:hideMark/>
          </w:tcPr>
          <w:p w14:paraId="6E5E5148"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-16.5%</w:t>
            </w:r>
          </w:p>
        </w:tc>
      </w:tr>
      <w:tr w:rsidR="00CF6DBB" w:rsidRPr="00CF6DBB" w14:paraId="07F7F53F" w14:textId="77777777" w:rsidTr="00E0466B">
        <w:trPr>
          <w:trHeight w:val="300"/>
        </w:trPr>
        <w:tc>
          <w:tcPr>
            <w:tcW w:w="2206" w:type="pct"/>
            <w:tcBorders>
              <w:top w:val="nil"/>
              <w:left w:val="nil"/>
              <w:bottom w:val="nil"/>
              <w:right w:val="nil"/>
            </w:tcBorders>
            <w:vAlign w:val="bottom"/>
            <w:hideMark/>
          </w:tcPr>
          <w:p w14:paraId="2FBBA274"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Motor Vehicle Parts</w:t>
            </w:r>
          </w:p>
        </w:tc>
        <w:tc>
          <w:tcPr>
            <w:tcW w:w="1394" w:type="pct"/>
            <w:tcBorders>
              <w:top w:val="nil"/>
              <w:left w:val="nil"/>
              <w:bottom w:val="nil"/>
              <w:right w:val="nil"/>
            </w:tcBorders>
            <w:vAlign w:val="bottom"/>
            <w:hideMark/>
          </w:tcPr>
          <w:p w14:paraId="4C540F9C"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0.3</w:t>
            </w:r>
          </w:p>
        </w:tc>
        <w:tc>
          <w:tcPr>
            <w:tcW w:w="1400" w:type="pct"/>
            <w:tcBorders>
              <w:top w:val="nil"/>
              <w:left w:val="nil"/>
              <w:bottom w:val="nil"/>
              <w:right w:val="nil"/>
            </w:tcBorders>
            <w:vAlign w:val="bottom"/>
            <w:hideMark/>
          </w:tcPr>
          <w:p w14:paraId="4FE7BAD9"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-7.2%</w:t>
            </w:r>
          </w:p>
        </w:tc>
      </w:tr>
      <w:tr w:rsidR="00CF6DBB" w:rsidRPr="00CF6DBB" w14:paraId="036850A2" w14:textId="77777777" w:rsidTr="00E0466B">
        <w:trPr>
          <w:trHeight w:val="300"/>
        </w:trPr>
        <w:tc>
          <w:tcPr>
            <w:tcW w:w="2206" w:type="pct"/>
            <w:tcBorders>
              <w:top w:val="nil"/>
              <w:left w:val="nil"/>
              <w:bottom w:val="nil"/>
              <w:right w:val="nil"/>
            </w:tcBorders>
            <w:vAlign w:val="bottom"/>
            <w:hideMark/>
          </w:tcPr>
          <w:p w14:paraId="4E882044"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Other Fabricated Metal Products</w:t>
            </w:r>
          </w:p>
        </w:tc>
        <w:tc>
          <w:tcPr>
            <w:tcW w:w="1394" w:type="pct"/>
            <w:tcBorders>
              <w:top w:val="nil"/>
              <w:left w:val="nil"/>
              <w:bottom w:val="nil"/>
              <w:right w:val="nil"/>
            </w:tcBorders>
            <w:vAlign w:val="bottom"/>
            <w:hideMark/>
          </w:tcPr>
          <w:p w14:paraId="574ABB40"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0.3</w:t>
            </w:r>
          </w:p>
        </w:tc>
        <w:tc>
          <w:tcPr>
            <w:tcW w:w="1400" w:type="pct"/>
            <w:tcBorders>
              <w:top w:val="nil"/>
              <w:left w:val="nil"/>
              <w:bottom w:val="nil"/>
              <w:right w:val="nil"/>
            </w:tcBorders>
            <w:vAlign w:val="bottom"/>
            <w:hideMark/>
          </w:tcPr>
          <w:p w14:paraId="68FE6B53"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6.4%</w:t>
            </w:r>
          </w:p>
        </w:tc>
      </w:tr>
      <w:tr w:rsidR="00CF6DBB" w:rsidRPr="00CF6DBB" w14:paraId="71F90243" w14:textId="77777777" w:rsidTr="00E0466B">
        <w:trPr>
          <w:trHeight w:val="300"/>
        </w:trPr>
        <w:tc>
          <w:tcPr>
            <w:tcW w:w="2206" w:type="pct"/>
            <w:tcBorders>
              <w:top w:val="nil"/>
              <w:left w:val="nil"/>
              <w:bottom w:val="nil"/>
              <w:right w:val="nil"/>
            </w:tcBorders>
            <w:vAlign w:val="bottom"/>
            <w:hideMark/>
          </w:tcPr>
          <w:p w14:paraId="53EA0588"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Miscellaneous Manufactured Commodities</w:t>
            </w:r>
          </w:p>
        </w:tc>
        <w:tc>
          <w:tcPr>
            <w:tcW w:w="1394" w:type="pct"/>
            <w:tcBorders>
              <w:top w:val="nil"/>
              <w:left w:val="nil"/>
              <w:bottom w:val="nil"/>
              <w:right w:val="nil"/>
            </w:tcBorders>
            <w:vAlign w:val="bottom"/>
            <w:hideMark/>
          </w:tcPr>
          <w:p w14:paraId="53E31277"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0.3</w:t>
            </w:r>
          </w:p>
        </w:tc>
        <w:tc>
          <w:tcPr>
            <w:tcW w:w="1400" w:type="pct"/>
            <w:tcBorders>
              <w:top w:val="nil"/>
              <w:left w:val="nil"/>
              <w:bottom w:val="nil"/>
              <w:right w:val="nil"/>
            </w:tcBorders>
            <w:vAlign w:val="bottom"/>
            <w:hideMark/>
          </w:tcPr>
          <w:p w14:paraId="494833D3"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-37.7%</w:t>
            </w:r>
          </w:p>
        </w:tc>
      </w:tr>
      <w:tr w:rsidR="00CF6DBB" w:rsidRPr="00CF6DBB" w14:paraId="3DB100FB" w14:textId="77777777" w:rsidTr="00E0466B">
        <w:trPr>
          <w:trHeight w:val="285"/>
        </w:trPr>
        <w:tc>
          <w:tcPr>
            <w:tcW w:w="2206" w:type="pct"/>
            <w:tcBorders>
              <w:top w:val="nil"/>
              <w:left w:val="nil"/>
              <w:bottom w:val="nil"/>
              <w:right w:val="nil"/>
            </w:tcBorders>
            <w:vAlign w:val="bottom"/>
            <w:hideMark/>
          </w:tcPr>
          <w:p w14:paraId="78D8B1A8"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Other General Purpose Machinery</w:t>
            </w:r>
          </w:p>
        </w:tc>
        <w:tc>
          <w:tcPr>
            <w:tcW w:w="1394" w:type="pct"/>
            <w:tcBorders>
              <w:top w:val="nil"/>
              <w:left w:val="nil"/>
              <w:bottom w:val="nil"/>
              <w:right w:val="nil"/>
            </w:tcBorders>
            <w:vAlign w:val="bottom"/>
            <w:hideMark/>
          </w:tcPr>
          <w:p w14:paraId="2C247AD6"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0.3</w:t>
            </w:r>
          </w:p>
        </w:tc>
        <w:tc>
          <w:tcPr>
            <w:tcW w:w="1400" w:type="pct"/>
            <w:tcBorders>
              <w:top w:val="nil"/>
              <w:left w:val="nil"/>
              <w:bottom w:val="nil"/>
              <w:right w:val="nil"/>
            </w:tcBorders>
            <w:vAlign w:val="bottom"/>
            <w:hideMark/>
          </w:tcPr>
          <w:p w14:paraId="0E892083"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-31.1%</w:t>
            </w:r>
          </w:p>
        </w:tc>
      </w:tr>
      <w:tr w:rsidR="00CF6DBB" w:rsidRPr="00CF6DBB" w14:paraId="10EBFC40" w14:textId="77777777" w:rsidTr="00E0466B">
        <w:trPr>
          <w:trHeight w:val="300"/>
        </w:trPr>
        <w:tc>
          <w:tcPr>
            <w:tcW w:w="2206" w:type="pct"/>
            <w:tcBorders>
              <w:top w:val="nil"/>
              <w:left w:val="nil"/>
              <w:bottom w:val="nil"/>
              <w:right w:val="nil"/>
            </w:tcBorders>
            <w:vAlign w:val="bottom"/>
            <w:hideMark/>
          </w:tcPr>
          <w:p w14:paraId="4A7F6A49" w14:textId="77777777" w:rsidR="00CF6DBB" w:rsidRPr="00CF6DBB" w:rsidRDefault="00CF6DBB" w:rsidP="00CF6DBB">
            <w:pPr>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 xml:space="preserve"> Electrical Equipment</w:t>
            </w:r>
          </w:p>
        </w:tc>
        <w:tc>
          <w:tcPr>
            <w:tcW w:w="1394" w:type="pct"/>
            <w:tcBorders>
              <w:top w:val="nil"/>
              <w:left w:val="nil"/>
              <w:bottom w:val="nil"/>
              <w:right w:val="nil"/>
            </w:tcBorders>
            <w:vAlign w:val="bottom"/>
            <w:hideMark/>
          </w:tcPr>
          <w:p w14:paraId="151D48D7"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0.3</w:t>
            </w:r>
          </w:p>
        </w:tc>
        <w:tc>
          <w:tcPr>
            <w:tcW w:w="1400" w:type="pct"/>
            <w:tcBorders>
              <w:top w:val="nil"/>
              <w:left w:val="nil"/>
              <w:bottom w:val="nil"/>
              <w:right w:val="nil"/>
            </w:tcBorders>
            <w:vAlign w:val="bottom"/>
            <w:hideMark/>
          </w:tcPr>
          <w:p w14:paraId="1F801D2D" w14:textId="77777777" w:rsidR="00CF6DBB" w:rsidRPr="00CF6DBB" w:rsidRDefault="00CF6DBB" w:rsidP="00CF6DBB">
            <w:pPr>
              <w:jc w:val="right"/>
              <w:rPr>
                <w:rFonts w:ascii="Arial" w:eastAsia="Times New Roman" w:hAnsi="Arial" w:cs="Arial"/>
                <w:color w:val="000000"/>
                <w:kern w:val="0"/>
                <w:sz w:val="23"/>
                <w:szCs w:val="23"/>
                <w14:ligatures w14:val="none"/>
              </w:rPr>
            </w:pPr>
            <w:r w:rsidRPr="00CF6DBB">
              <w:rPr>
                <w:rFonts w:ascii="Arial" w:eastAsia="Times New Roman" w:hAnsi="Arial" w:cs="Arial"/>
                <w:color w:val="000000"/>
                <w:kern w:val="0"/>
                <w:sz w:val="23"/>
                <w:szCs w:val="23"/>
                <w14:ligatures w14:val="none"/>
              </w:rPr>
              <w:t>9.6%</w:t>
            </w:r>
          </w:p>
        </w:tc>
      </w:tr>
      <w:tr w:rsidR="00CF6DBB" w:rsidRPr="00CF6DBB" w14:paraId="6CB6F5F8" w14:textId="77777777" w:rsidTr="00E0466B">
        <w:trPr>
          <w:trHeight w:val="300"/>
        </w:trPr>
        <w:tc>
          <w:tcPr>
            <w:tcW w:w="2206" w:type="pct"/>
            <w:tcBorders>
              <w:top w:val="nil"/>
              <w:left w:val="nil"/>
              <w:bottom w:val="nil"/>
              <w:right w:val="nil"/>
            </w:tcBorders>
            <w:noWrap/>
            <w:vAlign w:val="bottom"/>
            <w:hideMark/>
          </w:tcPr>
          <w:p w14:paraId="4838DFDE" w14:textId="77777777" w:rsidR="00CF6DBB" w:rsidRPr="00CF6DBB" w:rsidRDefault="00CF6DBB" w:rsidP="00CF6DBB">
            <w:pPr>
              <w:jc w:val="right"/>
              <w:rPr>
                <w:rFonts w:ascii="Arial" w:eastAsia="Times New Roman" w:hAnsi="Arial" w:cs="Arial"/>
                <w:color w:val="000000"/>
                <w:kern w:val="0"/>
                <w:sz w:val="23"/>
                <w:szCs w:val="23"/>
                <w14:ligatures w14:val="none"/>
              </w:rPr>
            </w:pPr>
          </w:p>
        </w:tc>
        <w:tc>
          <w:tcPr>
            <w:tcW w:w="1394" w:type="pct"/>
            <w:tcBorders>
              <w:top w:val="nil"/>
              <w:left w:val="nil"/>
              <w:bottom w:val="nil"/>
              <w:right w:val="nil"/>
            </w:tcBorders>
            <w:noWrap/>
            <w:vAlign w:val="bottom"/>
            <w:hideMark/>
          </w:tcPr>
          <w:p w14:paraId="48F11F77" w14:textId="77777777" w:rsidR="00CF6DBB" w:rsidRPr="00CF6DBB" w:rsidRDefault="00CF6DBB" w:rsidP="00CF6DBB">
            <w:pPr>
              <w:rPr>
                <w:rFonts w:ascii="Times New Roman" w:eastAsia="Times New Roman" w:hAnsi="Times New Roman" w:cs="Times New Roman"/>
                <w:kern w:val="0"/>
                <w:sz w:val="20"/>
                <w:szCs w:val="20"/>
                <w14:ligatures w14:val="none"/>
              </w:rPr>
            </w:pPr>
          </w:p>
        </w:tc>
        <w:tc>
          <w:tcPr>
            <w:tcW w:w="1400" w:type="pct"/>
            <w:tcBorders>
              <w:top w:val="nil"/>
              <w:left w:val="nil"/>
              <w:bottom w:val="nil"/>
              <w:right w:val="nil"/>
            </w:tcBorders>
            <w:noWrap/>
            <w:vAlign w:val="bottom"/>
            <w:hideMark/>
          </w:tcPr>
          <w:p w14:paraId="6550ED92" w14:textId="77777777" w:rsidR="00CF6DBB" w:rsidRPr="00CF6DBB" w:rsidRDefault="00CF6DBB" w:rsidP="00CF6DBB">
            <w:pPr>
              <w:rPr>
                <w:rFonts w:ascii="Times New Roman" w:eastAsia="Times New Roman" w:hAnsi="Times New Roman" w:cs="Times New Roman"/>
                <w:kern w:val="0"/>
                <w:sz w:val="20"/>
                <w:szCs w:val="20"/>
                <w14:ligatures w14:val="none"/>
              </w:rPr>
            </w:pPr>
          </w:p>
        </w:tc>
      </w:tr>
      <w:tr w:rsidR="00CF6DBB" w:rsidRPr="00CF6DBB" w14:paraId="24D339DD" w14:textId="77777777" w:rsidTr="00CF6DBB">
        <w:trPr>
          <w:trHeight w:val="345"/>
        </w:trPr>
        <w:tc>
          <w:tcPr>
            <w:tcW w:w="5000" w:type="pct"/>
            <w:gridSpan w:val="3"/>
            <w:tcBorders>
              <w:top w:val="nil"/>
              <w:left w:val="nil"/>
              <w:bottom w:val="nil"/>
              <w:right w:val="nil"/>
            </w:tcBorders>
            <w:vAlign w:val="center"/>
            <w:hideMark/>
          </w:tcPr>
          <w:p w14:paraId="42071591" w14:textId="77777777" w:rsidR="00CF6DBB" w:rsidRPr="00CF6DBB" w:rsidRDefault="00CF6DBB" w:rsidP="00CF6DBB">
            <w:pPr>
              <w:rPr>
                <w:rFonts w:ascii="Georgia" w:eastAsia="Times New Roman" w:hAnsi="Georgia" w:cs="Calibri"/>
                <w:color w:val="212121"/>
                <w:kern w:val="0"/>
                <w:sz w:val="36"/>
                <w:szCs w:val="36"/>
                <w14:ligatures w14:val="none"/>
              </w:rPr>
            </w:pPr>
            <w:r w:rsidRPr="00CF6DBB">
              <w:rPr>
                <w:rFonts w:ascii="Georgia" w:eastAsia="Times New Roman" w:hAnsi="Georgia" w:cs="Calibri"/>
                <w:color w:val="212121"/>
                <w:kern w:val="0"/>
                <w:sz w:val="36"/>
                <w:szCs w:val="36"/>
                <w14:ligatures w14:val="none"/>
              </w:rPr>
              <w:t>Top 10 Export Markets, March 2026</w:t>
            </w:r>
          </w:p>
        </w:tc>
      </w:tr>
      <w:tr w:rsidR="00CF6DBB" w:rsidRPr="00CF6DBB" w14:paraId="7E3BE6DD" w14:textId="77777777" w:rsidTr="00E0466B">
        <w:trPr>
          <w:trHeight w:val="300"/>
        </w:trPr>
        <w:tc>
          <w:tcPr>
            <w:tcW w:w="2206" w:type="pct"/>
            <w:tcBorders>
              <w:top w:val="nil"/>
              <w:left w:val="nil"/>
              <w:bottom w:val="nil"/>
              <w:right w:val="nil"/>
            </w:tcBorders>
            <w:noWrap/>
            <w:vAlign w:val="bottom"/>
            <w:hideMark/>
          </w:tcPr>
          <w:p w14:paraId="565F931F" w14:textId="77777777" w:rsidR="00CF6DBB" w:rsidRPr="00CF6DBB" w:rsidRDefault="00CF6DBB" w:rsidP="00CF6DBB">
            <w:pPr>
              <w:rPr>
                <w:rFonts w:ascii="Georgia" w:eastAsia="Times New Roman" w:hAnsi="Georgia" w:cs="Calibri"/>
                <w:color w:val="212121"/>
                <w:kern w:val="0"/>
                <w:sz w:val="36"/>
                <w:szCs w:val="36"/>
                <w14:ligatures w14:val="none"/>
              </w:rPr>
            </w:pPr>
          </w:p>
        </w:tc>
        <w:tc>
          <w:tcPr>
            <w:tcW w:w="1394" w:type="pct"/>
            <w:tcBorders>
              <w:top w:val="nil"/>
              <w:left w:val="nil"/>
              <w:bottom w:val="nil"/>
              <w:right w:val="nil"/>
            </w:tcBorders>
            <w:noWrap/>
            <w:vAlign w:val="bottom"/>
            <w:hideMark/>
          </w:tcPr>
          <w:p w14:paraId="2B9C032D" w14:textId="77777777" w:rsidR="00CF6DBB" w:rsidRPr="00CF6DBB" w:rsidRDefault="00CF6DBB" w:rsidP="00CF6DBB">
            <w:pPr>
              <w:rPr>
                <w:rFonts w:ascii="Times New Roman" w:eastAsia="Times New Roman" w:hAnsi="Times New Roman" w:cs="Times New Roman"/>
                <w:kern w:val="0"/>
                <w:sz w:val="20"/>
                <w:szCs w:val="20"/>
                <w14:ligatures w14:val="none"/>
              </w:rPr>
            </w:pPr>
          </w:p>
        </w:tc>
        <w:tc>
          <w:tcPr>
            <w:tcW w:w="1400" w:type="pct"/>
            <w:tcBorders>
              <w:top w:val="nil"/>
              <w:left w:val="nil"/>
              <w:bottom w:val="nil"/>
              <w:right w:val="nil"/>
            </w:tcBorders>
            <w:noWrap/>
            <w:vAlign w:val="bottom"/>
            <w:hideMark/>
          </w:tcPr>
          <w:p w14:paraId="1B3292F1" w14:textId="77777777" w:rsidR="00CF6DBB" w:rsidRPr="00CF6DBB" w:rsidRDefault="00CF6DBB" w:rsidP="00CF6DBB">
            <w:pPr>
              <w:rPr>
                <w:rFonts w:ascii="Times New Roman" w:eastAsia="Times New Roman" w:hAnsi="Times New Roman" w:cs="Times New Roman"/>
                <w:kern w:val="0"/>
                <w:sz w:val="20"/>
                <w:szCs w:val="20"/>
                <w14:ligatures w14:val="none"/>
              </w:rPr>
            </w:pPr>
          </w:p>
        </w:tc>
      </w:tr>
      <w:tr w:rsidR="00CF6DBB" w:rsidRPr="00CF6DBB" w14:paraId="67F6DCB6" w14:textId="77777777" w:rsidTr="00E0466B">
        <w:trPr>
          <w:trHeight w:val="300"/>
        </w:trPr>
        <w:tc>
          <w:tcPr>
            <w:tcW w:w="2206" w:type="pct"/>
            <w:tcBorders>
              <w:top w:val="nil"/>
              <w:left w:val="nil"/>
              <w:bottom w:val="nil"/>
              <w:right w:val="nil"/>
            </w:tcBorders>
            <w:noWrap/>
            <w:vAlign w:val="bottom"/>
            <w:hideMark/>
          </w:tcPr>
          <w:p w14:paraId="5B1498C8" w14:textId="77777777" w:rsidR="00CF6DBB" w:rsidRPr="00CF6DBB" w:rsidRDefault="00CF6DBB" w:rsidP="00CF6DBB">
            <w:pPr>
              <w:rPr>
                <w:rFonts w:ascii="Times New Roman" w:eastAsia="Times New Roman" w:hAnsi="Times New Roman" w:cs="Times New Roman"/>
                <w:kern w:val="0"/>
                <w:sz w:val="20"/>
                <w:szCs w:val="20"/>
                <w14:ligatures w14:val="none"/>
              </w:rPr>
            </w:pPr>
          </w:p>
        </w:tc>
        <w:tc>
          <w:tcPr>
            <w:tcW w:w="1394" w:type="pct"/>
            <w:tcBorders>
              <w:top w:val="nil"/>
              <w:left w:val="nil"/>
              <w:bottom w:val="nil"/>
              <w:right w:val="nil"/>
            </w:tcBorders>
            <w:noWrap/>
            <w:vAlign w:val="bottom"/>
            <w:hideMark/>
          </w:tcPr>
          <w:p w14:paraId="40360B18" w14:textId="77777777" w:rsidR="00CF6DBB" w:rsidRPr="00CF6DBB" w:rsidRDefault="00CF6DBB" w:rsidP="00CF6DBB">
            <w:pPr>
              <w:rPr>
                <w:rFonts w:ascii="Calibri" w:eastAsia="Times New Roman" w:hAnsi="Calibri" w:cs="Calibri"/>
                <w:b/>
                <w:bCs/>
                <w:color w:val="000000"/>
                <w:kern w:val="0"/>
                <w14:ligatures w14:val="none"/>
              </w:rPr>
            </w:pPr>
            <w:r w:rsidRPr="00CF6DBB">
              <w:rPr>
                <w:rFonts w:ascii="Calibri" w:eastAsia="Times New Roman" w:hAnsi="Calibri" w:cs="Calibri"/>
                <w:b/>
                <w:bCs/>
                <w:color w:val="000000"/>
                <w:kern w:val="0"/>
                <w14:ligatures w14:val="none"/>
              </w:rPr>
              <w:t>Mar 2026 Exports ($b.)</w:t>
            </w:r>
          </w:p>
        </w:tc>
        <w:tc>
          <w:tcPr>
            <w:tcW w:w="1400" w:type="pct"/>
            <w:tcBorders>
              <w:top w:val="nil"/>
              <w:left w:val="nil"/>
              <w:bottom w:val="nil"/>
              <w:right w:val="nil"/>
            </w:tcBorders>
            <w:noWrap/>
            <w:vAlign w:val="bottom"/>
            <w:hideMark/>
          </w:tcPr>
          <w:p w14:paraId="74547AC5" w14:textId="77777777" w:rsidR="00CF6DBB" w:rsidRPr="00CF6DBB" w:rsidRDefault="00CF6DBB" w:rsidP="00CF6DBB">
            <w:pPr>
              <w:rPr>
                <w:rFonts w:ascii="Calibri" w:eastAsia="Times New Roman" w:hAnsi="Calibri" w:cs="Calibri"/>
                <w:b/>
                <w:bCs/>
                <w:color w:val="000000"/>
                <w:kern w:val="0"/>
                <w14:ligatures w14:val="none"/>
              </w:rPr>
            </w:pPr>
            <w:r w:rsidRPr="00CF6DBB">
              <w:rPr>
                <w:rFonts w:ascii="Calibri" w:eastAsia="Times New Roman" w:hAnsi="Calibri" w:cs="Calibri"/>
                <w:b/>
                <w:bCs/>
                <w:color w:val="000000"/>
                <w:kern w:val="0"/>
                <w14:ligatures w14:val="none"/>
              </w:rPr>
              <w:t>Change from Mar 2025</w:t>
            </w:r>
          </w:p>
        </w:tc>
      </w:tr>
      <w:tr w:rsidR="00CF6DBB" w:rsidRPr="00CF6DBB" w14:paraId="5D8E9029" w14:textId="77777777" w:rsidTr="00E0466B">
        <w:trPr>
          <w:trHeight w:val="300"/>
        </w:trPr>
        <w:tc>
          <w:tcPr>
            <w:tcW w:w="2206" w:type="pct"/>
            <w:tcBorders>
              <w:top w:val="nil"/>
              <w:left w:val="nil"/>
              <w:bottom w:val="nil"/>
              <w:right w:val="nil"/>
            </w:tcBorders>
            <w:noWrap/>
            <w:vAlign w:val="bottom"/>
            <w:hideMark/>
          </w:tcPr>
          <w:p w14:paraId="047E29C8" w14:textId="77777777" w:rsidR="00CF6DBB" w:rsidRPr="00CF6DBB" w:rsidRDefault="00CF6DBB" w:rsidP="00CF6DBB">
            <w:pPr>
              <w:rPr>
                <w:rFonts w:ascii="Calibri" w:eastAsia="Times New Roman" w:hAnsi="Calibri" w:cs="Calibri"/>
                <w:color w:val="000000"/>
                <w:kern w:val="0"/>
                <w14:ligatures w14:val="none"/>
              </w:rPr>
            </w:pPr>
            <w:r w:rsidRPr="00CF6DBB">
              <w:rPr>
                <w:rFonts w:ascii="Calibri" w:eastAsia="Times New Roman" w:hAnsi="Calibri" w:cs="Calibri"/>
                <w:color w:val="000000"/>
                <w:kern w:val="0"/>
                <w14:ligatures w14:val="none"/>
              </w:rPr>
              <w:t>Mexico</w:t>
            </w:r>
          </w:p>
        </w:tc>
        <w:tc>
          <w:tcPr>
            <w:tcW w:w="1394" w:type="pct"/>
            <w:tcBorders>
              <w:top w:val="nil"/>
              <w:left w:val="nil"/>
              <w:bottom w:val="nil"/>
              <w:right w:val="nil"/>
            </w:tcBorders>
            <w:vAlign w:val="bottom"/>
            <w:hideMark/>
          </w:tcPr>
          <w:p w14:paraId="77159433"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$2.8</w:t>
            </w:r>
          </w:p>
        </w:tc>
        <w:tc>
          <w:tcPr>
            <w:tcW w:w="1400" w:type="pct"/>
            <w:tcBorders>
              <w:top w:val="nil"/>
              <w:left w:val="nil"/>
              <w:bottom w:val="nil"/>
              <w:right w:val="nil"/>
            </w:tcBorders>
            <w:vAlign w:val="bottom"/>
            <w:hideMark/>
          </w:tcPr>
          <w:p w14:paraId="11E371B9"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-11.8%</w:t>
            </w:r>
          </w:p>
        </w:tc>
      </w:tr>
      <w:tr w:rsidR="00CF6DBB" w:rsidRPr="00CF6DBB" w14:paraId="0E777245" w14:textId="77777777" w:rsidTr="00E0466B">
        <w:trPr>
          <w:trHeight w:val="300"/>
        </w:trPr>
        <w:tc>
          <w:tcPr>
            <w:tcW w:w="2206" w:type="pct"/>
            <w:tcBorders>
              <w:top w:val="nil"/>
              <w:left w:val="nil"/>
              <w:bottom w:val="nil"/>
              <w:right w:val="nil"/>
            </w:tcBorders>
            <w:noWrap/>
            <w:vAlign w:val="bottom"/>
            <w:hideMark/>
          </w:tcPr>
          <w:p w14:paraId="413D5973" w14:textId="77777777" w:rsidR="00CF6DBB" w:rsidRPr="00CF6DBB" w:rsidRDefault="00CF6DBB" w:rsidP="00CF6DBB">
            <w:pPr>
              <w:rPr>
                <w:rFonts w:ascii="Calibri" w:eastAsia="Times New Roman" w:hAnsi="Calibri" w:cs="Calibri"/>
                <w:color w:val="000000"/>
                <w:kern w:val="0"/>
                <w14:ligatures w14:val="none"/>
              </w:rPr>
            </w:pPr>
            <w:r w:rsidRPr="00CF6DBB">
              <w:rPr>
                <w:rFonts w:ascii="Calibri" w:eastAsia="Times New Roman" w:hAnsi="Calibri" w:cs="Calibri"/>
                <w:color w:val="000000"/>
                <w:kern w:val="0"/>
                <w14:ligatures w14:val="none"/>
              </w:rPr>
              <w:lastRenderedPageBreak/>
              <w:t>Canada</w:t>
            </w:r>
          </w:p>
        </w:tc>
        <w:tc>
          <w:tcPr>
            <w:tcW w:w="1394" w:type="pct"/>
            <w:tcBorders>
              <w:top w:val="nil"/>
              <w:left w:val="nil"/>
              <w:bottom w:val="nil"/>
              <w:right w:val="nil"/>
            </w:tcBorders>
            <w:vAlign w:val="bottom"/>
            <w:hideMark/>
          </w:tcPr>
          <w:p w14:paraId="699D6179"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1.3</w:t>
            </w:r>
          </w:p>
        </w:tc>
        <w:tc>
          <w:tcPr>
            <w:tcW w:w="1400" w:type="pct"/>
            <w:tcBorders>
              <w:top w:val="nil"/>
              <w:left w:val="nil"/>
              <w:bottom w:val="nil"/>
              <w:right w:val="nil"/>
            </w:tcBorders>
            <w:vAlign w:val="bottom"/>
            <w:hideMark/>
          </w:tcPr>
          <w:p w14:paraId="55B150D9"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-23.9%</w:t>
            </w:r>
          </w:p>
        </w:tc>
      </w:tr>
      <w:tr w:rsidR="00CF6DBB" w:rsidRPr="00CF6DBB" w14:paraId="07053ED6" w14:textId="77777777" w:rsidTr="00E0466B">
        <w:trPr>
          <w:trHeight w:val="300"/>
        </w:trPr>
        <w:tc>
          <w:tcPr>
            <w:tcW w:w="2206" w:type="pct"/>
            <w:tcBorders>
              <w:top w:val="nil"/>
              <w:left w:val="nil"/>
              <w:bottom w:val="nil"/>
              <w:right w:val="nil"/>
            </w:tcBorders>
            <w:noWrap/>
            <w:vAlign w:val="bottom"/>
            <w:hideMark/>
          </w:tcPr>
          <w:p w14:paraId="176787F4" w14:textId="77777777" w:rsidR="00CF6DBB" w:rsidRPr="00CF6DBB" w:rsidRDefault="00CF6DBB" w:rsidP="00CF6DBB">
            <w:pPr>
              <w:rPr>
                <w:rFonts w:ascii="Calibri" w:eastAsia="Times New Roman" w:hAnsi="Calibri" w:cs="Calibri"/>
                <w:color w:val="000000"/>
                <w:kern w:val="0"/>
                <w14:ligatures w14:val="none"/>
              </w:rPr>
            </w:pPr>
            <w:r w:rsidRPr="00CF6DBB">
              <w:rPr>
                <w:rFonts w:ascii="Calibri" w:eastAsia="Times New Roman" w:hAnsi="Calibri" w:cs="Calibri"/>
                <w:color w:val="000000"/>
                <w:kern w:val="0"/>
                <w14:ligatures w14:val="none"/>
              </w:rPr>
              <w:t>Taiwan</w:t>
            </w:r>
          </w:p>
        </w:tc>
        <w:tc>
          <w:tcPr>
            <w:tcW w:w="1394" w:type="pct"/>
            <w:tcBorders>
              <w:top w:val="nil"/>
              <w:left w:val="nil"/>
              <w:bottom w:val="nil"/>
              <w:right w:val="nil"/>
            </w:tcBorders>
            <w:vAlign w:val="bottom"/>
            <w:hideMark/>
          </w:tcPr>
          <w:p w14:paraId="79D748AB"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1.3</w:t>
            </w:r>
          </w:p>
        </w:tc>
        <w:tc>
          <w:tcPr>
            <w:tcW w:w="1400" w:type="pct"/>
            <w:tcBorders>
              <w:top w:val="nil"/>
              <w:left w:val="nil"/>
              <w:bottom w:val="nil"/>
              <w:right w:val="nil"/>
            </w:tcBorders>
            <w:vAlign w:val="bottom"/>
            <w:hideMark/>
          </w:tcPr>
          <w:p w14:paraId="530BCEB1"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25.1%</w:t>
            </w:r>
          </w:p>
        </w:tc>
      </w:tr>
      <w:tr w:rsidR="00CF6DBB" w:rsidRPr="00CF6DBB" w14:paraId="2BC274C4" w14:textId="77777777" w:rsidTr="00E0466B">
        <w:trPr>
          <w:trHeight w:val="300"/>
        </w:trPr>
        <w:tc>
          <w:tcPr>
            <w:tcW w:w="2206" w:type="pct"/>
            <w:tcBorders>
              <w:top w:val="nil"/>
              <w:left w:val="nil"/>
              <w:bottom w:val="nil"/>
              <w:right w:val="nil"/>
            </w:tcBorders>
            <w:noWrap/>
            <w:vAlign w:val="bottom"/>
            <w:hideMark/>
          </w:tcPr>
          <w:p w14:paraId="6F4845BF" w14:textId="77777777" w:rsidR="00CF6DBB" w:rsidRPr="00CF6DBB" w:rsidRDefault="00CF6DBB" w:rsidP="00CF6DBB">
            <w:pPr>
              <w:rPr>
                <w:rFonts w:ascii="Calibri" w:eastAsia="Times New Roman" w:hAnsi="Calibri" w:cs="Calibri"/>
                <w:color w:val="000000"/>
                <w:kern w:val="0"/>
                <w14:ligatures w14:val="none"/>
              </w:rPr>
            </w:pPr>
            <w:r w:rsidRPr="00CF6DBB">
              <w:rPr>
                <w:rFonts w:ascii="Calibri" w:eastAsia="Times New Roman" w:hAnsi="Calibri" w:cs="Calibri"/>
                <w:color w:val="000000"/>
                <w:kern w:val="0"/>
                <w14:ligatures w14:val="none"/>
              </w:rPr>
              <w:t>Japan</w:t>
            </w:r>
          </w:p>
        </w:tc>
        <w:tc>
          <w:tcPr>
            <w:tcW w:w="1394" w:type="pct"/>
            <w:tcBorders>
              <w:top w:val="nil"/>
              <w:left w:val="nil"/>
              <w:bottom w:val="nil"/>
              <w:right w:val="nil"/>
            </w:tcBorders>
            <w:vAlign w:val="bottom"/>
            <w:hideMark/>
          </w:tcPr>
          <w:p w14:paraId="42A89E75"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1.0</w:t>
            </w:r>
          </w:p>
        </w:tc>
        <w:tc>
          <w:tcPr>
            <w:tcW w:w="1400" w:type="pct"/>
            <w:tcBorders>
              <w:top w:val="nil"/>
              <w:left w:val="nil"/>
              <w:bottom w:val="nil"/>
              <w:right w:val="nil"/>
            </w:tcBorders>
            <w:vAlign w:val="bottom"/>
            <w:hideMark/>
          </w:tcPr>
          <w:p w14:paraId="59D3C1E6"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6.2%</w:t>
            </w:r>
          </w:p>
        </w:tc>
      </w:tr>
      <w:tr w:rsidR="00CF6DBB" w:rsidRPr="00CF6DBB" w14:paraId="3F029485" w14:textId="77777777" w:rsidTr="00E0466B">
        <w:trPr>
          <w:trHeight w:val="300"/>
        </w:trPr>
        <w:tc>
          <w:tcPr>
            <w:tcW w:w="2206" w:type="pct"/>
            <w:tcBorders>
              <w:top w:val="nil"/>
              <w:left w:val="nil"/>
              <w:bottom w:val="nil"/>
              <w:right w:val="nil"/>
            </w:tcBorders>
            <w:noWrap/>
            <w:vAlign w:val="bottom"/>
            <w:hideMark/>
          </w:tcPr>
          <w:p w14:paraId="5E063F5E" w14:textId="77777777" w:rsidR="00CF6DBB" w:rsidRPr="00CF6DBB" w:rsidRDefault="00CF6DBB" w:rsidP="00CF6DBB">
            <w:pPr>
              <w:rPr>
                <w:rFonts w:ascii="Calibri" w:eastAsia="Times New Roman" w:hAnsi="Calibri" w:cs="Calibri"/>
                <w:color w:val="000000"/>
                <w:kern w:val="0"/>
                <w14:ligatures w14:val="none"/>
              </w:rPr>
            </w:pPr>
            <w:r w:rsidRPr="00CF6DBB">
              <w:rPr>
                <w:rFonts w:ascii="Calibri" w:eastAsia="Times New Roman" w:hAnsi="Calibri" w:cs="Calibri"/>
                <w:color w:val="000000"/>
                <w:kern w:val="0"/>
                <w14:ligatures w14:val="none"/>
              </w:rPr>
              <w:t>Korea, South</w:t>
            </w:r>
          </w:p>
        </w:tc>
        <w:tc>
          <w:tcPr>
            <w:tcW w:w="1394" w:type="pct"/>
            <w:tcBorders>
              <w:top w:val="nil"/>
              <w:left w:val="nil"/>
              <w:bottom w:val="nil"/>
              <w:right w:val="nil"/>
            </w:tcBorders>
            <w:vAlign w:val="bottom"/>
            <w:hideMark/>
          </w:tcPr>
          <w:p w14:paraId="30B9F3E2"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1.0</w:t>
            </w:r>
          </w:p>
        </w:tc>
        <w:tc>
          <w:tcPr>
            <w:tcW w:w="1400" w:type="pct"/>
            <w:tcBorders>
              <w:top w:val="nil"/>
              <w:left w:val="nil"/>
              <w:bottom w:val="nil"/>
              <w:right w:val="nil"/>
            </w:tcBorders>
            <w:vAlign w:val="bottom"/>
            <w:hideMark/>
          </w:tcPr>
          <w:p w14:paraId="68CDECCE"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18.6%</w:t>
            </w:r>
          </w:p>
        </w:tc>
      </w:tr>
      <w:tr w:rsidR="00CF6DBB" w:rsidRPr="00CF6DBB" w14:paraId="336CB6C3" w14:textId="77777777" w:rsidTr="00E0466B">
        <w:trPr>
          <w:trHeight w:val="300"/>
        </w:trPr>
        <w:tc>
          <w:tcPr>
            <w:tcW w:w="2206" w:type="pct"/>
            <w:tcBorders>
              <w:top w:val="nil"/>
              <w:left w:val="nil"/>
              <w:bottom w:val="nil"/>
              <w:right w:val="nil"/>
            </w:tcBorders>
            <w:noWrap/>
            <w:vAlign w:val="bottom"/>
            <w:hideMark/>
          </w:tcPr>
          <w:p w14:paraId="61088B8E" w14:textId="77777777" w:rsidR="00CF6DBB" w:rsidRPr="00CF6DBB" w:rsidRDefault="00CF6DBB" w:rsidP="00CF6DBB">
            <w:pPr>
              <w:rPr>
                <w:rFonts w:ascii="Calibri" w:eastAsia="Times New Roman" w:hAnsi="Calibri" w:cs="Calibri"/>
                <w:color w:val="000000"/>
                <w:kern w:val="0"/>
                <w14:ligatures w14:val="none"/>
              </w:rPr>
            </w:pPr>
            <w:r w:rsidRPr="00CF6DBB">
              <w:rPr>
                <w:rFonts w:ascii="Calibri" w:eastAsia="Times New Roman" w:hAnsi="Calibri" w:cs="Calibri"/>
                <w:color w:val="000000"/>
                <w:kern w:val="0"/>
                <w14:ligatures w14:val="none"/>
              </w:rPr>
              <w:t>China</w:t>
            </w:r>
          </w:p>
        </w:tc>
        <w:tc>
          <w:tcPr>
            <w:tcW w:w="1394" w:type="pct"/>
            <w:tcBorders>
              <w:top w:val="nil"/>
              <w:left w:val="nil"/>
              <w:bottom w:val="nil"/>
              <w:right w:val="nil"/>
            </w:tcBorders>
            <w:vAlign w:val="bottom"/>
            <w:hideMark/>
          </w:tcPr>
          <w:p w14:paraId="1FDEAD3D"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0.9</w:t>
            </w:r>
          </w:p>
        </w:tc>
        <w:tc>
          <w:tcPr>
            <w:tcW w:w="1400" w:type="pct"/>
            <w:tcBorders>
              <w:top w:val="nil"/>
              <w:left w:val="nil"/>
              <w:bottom w:val="nil"/>
              <w:right w:val="nil"/>
            </w:tcBorders>
            <w:vAlign w:val="bottom"/>
            <w:hideMark/>
          </w:tcPr>
          <w:p w14:paraId="3CA8D128"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-5.4%</w:t>
            </w:r>
          </w:p>
        </w:tc>
      </w:tr>
      <w:tr w:rsidR="00CF6DBB" w:rsidRPr="00CF6DBB" w14:paraId="166C5D0C" w14:textId="77777777" w:rsidTr="00E0466B">
        <w:trPr>
          <w:trHeight w:val="300"/>
        </w:trPr>
        <w:tc>
          <w:tcPr>
            <w:tcW w:w="2206" w:type="pct"/>
            <w:tcBorders>
              <w:top w:val="nil"/>
              <w:left w:val="nil"/>
              <w:bottom w:val="nil"/>
              <w:right w:val="nil"/>
            </w:tcBorders>
            <w:noWrap/>
            <w:vAlign w:val="bottom"/>
            <w:hideMark/>
          </w:tcPr>
          <w:p w14:paraId="6CAC1866" w14:textId="77777777" w:rsidR="00CF6DBB" w:rsidRPr="00CF6DBB" w:rsidRDefault="00CF6DBB" w:rsidP="00CF6DBB">
            <w:pPr>
              <w:rPr>
                <w:rFonts w:ascii="Calibri" w:eastAsia="Times New Roman" w:hAnsi="Calibri" w:cs="Calibri"/>
                <w:color w:val="000000"/>
                <w:kern w:val="0"/>
                <w14:ligatures w14:val="none"/>
              </w:rPr>
            </w:pPr>
            <w:r w:rsidRPr="00CF6DBB">
              <w:rPr>
                <w:rFonts w:ascii="Calibri" w:eastAsia="Times New Roman" w:hAnsi="Calibri" w:cs="Calibri"/>
                <w:color w:val="000000"/>
                <w:kern w:val="0"/>
                <w14:ligatures w14:val="none"/>
              </w:rPr>
              <w:t>Netherlands</w:t>
            </w:r>
          </w:p>
        </w:tc>
        <w:tc>
          <w:tcPr>
            <w:tcW w:w="1394" w:type="pct"/>
            <w:tcBorders>
              <w:top w:val="nil"/>
              <w:left w:val="nil"/>
              <w:bottom w:val="nil"/>
              <w:right w:val="nil"/>
            </w:tcBorders>
            <w:vAlign w:val="bottom"/>
            <w:hideMark/>
          </w:tcPr>
          <w:p w14:paraId="2130FEC9"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0.8</w:t>
            </w:r>
          </w:p>
        </w:tc>
        <w:tc>
          <w:tcPr>
            <w:tcW w:w="1400" w:type="pct"/>
            <w:tcBorders>
              <w:top w:val="nil"/>
              <w:left w:val="nil"/>
              <w:bottom w:val="nil"/>
              <w:right w:val="nil"/>
            </w:tcBorders>
            <w:vAlign w:val="bottom"/>
            <w:hideMark/>
          </w:tcPr>
          <w:p w14:paraId="6FAB3710"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29.2%</w:t>
            </w:r>
          </w:p>
        </w:tc>
      </w:tr>
      <w:tr w:rsidR="00CF6DBB" w:rsidRPr="00CF6DBB" w14:paraId="33A428D0" w14:textId="77777777" w:rsidTr="00E0466B">
        <w:trPr>
          <w:trHeight w:val="300"/>
        </w:trPr>
        <w:tc>
          <w:tcPr>
            <w:tcW w:w="2206" w:type="pct"/>
            <w:tcBorders>
              <w:top w:val="nil"/>
              <w:left w:val="nil"/>
              <w:bottom w:val="nil"/>
              <w:right w:val="nil"/>
            </w:tcBorders>
            <w:noWrap/>
            <w:vAlign w:val="bottom"/>
            <w:hideMark/>
          </w:tcPr>
          <w:p w14:paraId="563A4F21" w14:textId="77777777" w:rsidR="00CF6DBB" w:rsidRPr="00CF6DBB" w:rsidRDefault="00CF6DBB" w:rsidP="00CF6DBB">
            <w:pPr>
              <w:rPr>
                <w:rFonts w:ascii="Calibri" w:eastAsia="Times New Roman" w:hAnsi="Calibri" w:cs="Calibri"/>
                <w:color w:val="000000"/>
                <w:kern w:val="0"/>
                <w14:ligatures w14:val="none"/>
              </w:rPr>
            </w:pPr>
            <w:r w:rsidRPr="00CF6DBB">
              <w:rPr>
                <w:rFonts w:ascii="Calibri" w:eastAsia="Times New Roman" w:hAnsi="Calibri" w:cs="Calibri"/>
                <w:color w:val="000000"/>
                <w:kern w:val="0"/>
                <w14:ligatures w14:val="none"/>
              </w:rPr>
              <w:t>Singapore</w:t>
            </w:r>
          </w:p>
        </w:tc>
        <w:tc>
          <w:tcPr>
            <w:tcW w:w="1394" w:type="pct"/>
            <w:tcBorders>
              <w:top w:val="nil"/>
              <w:left w:val="nil"/>
              <w:bottom w:val="nil"/>
              <w:right w:val="nil"/>
            </w:tcBorders>
            <w:vAlign w:val="bottom"/>
            <w:hideMark/>
          </w:tcPr>
          <w:p w14:paraId="15FA808E"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0.7</w:t>
            </w:r>
          </w:p>
        </w:tc>
        <w:tc>
          <w:tcPr>
            <w:tcW w:w="1400" w:type="pct"/>
            <w:tcBorders>
              <w:top w:val="nil"/>
              <w:left w:val="nil"/>
              <w:bottom w:val="nil"/>
              <w:right w:val="nil"/>
            </w:tcBorders>
            <w:vAlign w:val="bottom"/>
            <w:hideMark/>
          </w:tcPr>
          <w:p w14:paraId="462279B7"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67.4%</w:t>
            </w:r>
          </w:p>
        </w:tc>
      </w:tr>
      <w:tr w:rsidR="00CF6DBB" w:rsidRPr="00CF6DBB" w14:paraId="3B56EE80" w14:textId="77777777" w:rsidTr="00E0466B">
        <w:trPr>
          <w:trHeight w:val="300"/>
        </w:trPr>
        <w:tc>
          <w:tcPr>
            <w:tcW w:w="2206" w:type="pct"/>
            <w:tcBorders>
              <w:top w:val="nil"/>
              <w:left w:val="nil"/>
              <w:bottom w:val="nil"/>
              <w:right w:val="nil"/>
            </w:tcBorders>
            <w:noWrap/>
            <w:vAlign w:val="bottom"/>
            <w:hideMark/>
          </w:tcPr>
          <w:p w14:paraId="3BBE8A68" w14:textId="77777777" w:rsidR="00CF6DBB" w:rsidRPr="00CF6DBB" w:rsidRDefault="00CF6DBB" w:rsidP="00CF6DBB">
            <w:pPr>
              <w:rPr>
                <w:rFonts w:ascii="Calibri" w:eastAsia="Times New Roman" w:hAnsi="Calibri" w:cs="Calibri"/>
                <w:color w:val="000000"/>
                <w:kern w:val="0"/>
                <w14:ligatures w14:val="none"/>
              </w:rPr>
            </w:pPr>
            <w:r w:rsidRPr="00CF6DBB">
              <w:rPr>
                <w:rFonts w:ascii="Calibri" w:eastAsia="Times New Roman" w:hAnsi="Calibri" w:cs="Calibri"/>
                <w:color w:val="000000"/>
                <w:kern w:val="0"/>
                <w14:ligatures w14:val="none"/>
              </w:rPr>
              <w:t>Germany</w:t>
            </w:r>
          </w:p>
        </w:tc>
        <w:tc>
          <w:tcPr>
            <w:tcW w:w="1394" w:type="pct"/>
            <w:tcBorders>
              <w:top w:val="nil"/>
              <w:left w:val="nil"/>
              <w:bottom w:val="nil"/>
              <w:right w:val="nil"/>
            </w:tcBorders>
            <w:vAlign w:val="bottom"/>
            <w:hideMark/>
          </w:tcPr>
          <w:p w14:paraId="17D07F44"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0.6</w:t>
            </w:r>
          </w:p>
        </w:tc>
        <w:tc>
          <w:tcPr>
            <w:tcW w:w="1400" w:type="pct"/>
            <w:tcBorders>
              <w:top w:val="nil"/>
              <w:left w:val="nil"/>
              <w:bottom w:val="nil"/>
              <w:right w:val="nil"/>
            </w:tcBorders>
            <w:vAlign w:val="bottom"/>
            <w:hideMark/>
          </w:tcPr>
          <w:p w14:paraId="34AF121F"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20.8%</w:t>
            </w:r>
          </w:p>
        </w:tc>
      </w:tr>
      <w:tr w:rsidR="00CF6DBB" w:rsidRPr="00CF6DBB" w14:paraId="06418AEF" w14:textId="77777777" w:rsidTr="00E0466B">
        <w:trPr>
          <w:trHeight w:val="300"/>
        </w:trPr>
        <w:tc>
          <w:tcPr>
            <w:tcW w:w="2206" w:type="pct"/>
            <w:tcBorders>
              <w:top w:val="nil"/>
              <w:left w:val="nil"/>
              <w:bottom w:val="nil"/>
              <w:right w:val="nil"/>
            </w:tcBorders>
            <w:noWrap/>
            <w:vAlign w:val="bottom"/>
            <w:hideMark/>
          </w:tcPr>
          <w:p w14:paraId="11088A08" w14:textId="77777777" w:rsidR="00CF6DBB" w:rsidRPr="00CF6DBB" w:rsidRDefault="00CF6DBB" w:rsidP="00CF6DBB">
            <w:pPr>
              <w:rPr>
                <w:rFonts w:ascii="Calibri" w:eastAsia="Times New Roman" w:hAnsi="Calibri" w:cs="Calibri"/>
                <w:color w:val="000000"/>
                <w:kern w:val="0"/>
                <w14:ligatures w14:val="none"/>
              </w:rPr>
            </w:pPr>
            <w:r w:rsidRPr="00CF6DBB">
              <w:rPr>
                <w:rFonts w:ascii="Calibri" w:eastAsia="Times New Roman" w:hAnsi="Calibri" w:cs="Calibri"/>
                <w:color w:val="000000"/>
                <w:kern w:val="0"/>
                <w14:ligatures w14:val="none"/>
              </w:rPr>
              <w:t>United Kingdom</w:t>
            </w:r>
          </w:p>
        </w:tc>
        <w:tc>
          <w:tcPr>
            <w:tcW w:w="1394" w:type="pct"/>
            <w:tcBorders>
              <w:top w:val="nil"/>
              <w:left w:val="nil"/>
              <w:bottom w:val="nil"/>
              <w:right w:val="nil"/>
            </w:tcBorders>
            <w:vAlign w:val="bottom"/>
            <w:hideMark/>
          </w:tcPr>
          <w:p w14:paraId="0FA40D1B"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0.6</w:t>
            </w:r>
          </w:p>
        </w:tc>
        <w:tc>
          <w:tcPr>
            <w:tcW w:w="1400" w:type="pct"/>
            <w:tcBorders>
              <w:top w:val="nil"/>
              <w:left w:val="nil"/>
              <w:bottom w:val="nil"/>
              <w:right w:val="nil"/>
            </w:tcBorders>
            <w:vAlign w:val="bottom"/>
            <w:hideMark/>
          </w:tcPr>
          <w:p w14:paraId="23978121" w14:textId="77777777" w:rsidR="00CF6DBB" w:rsidRPr="00CF6DBB" w:rsidRDefault="00CF6DBB" w:rsidP="00CF6DBB">
            <w:pPr>
              <w:jc w:val="right"/>
              <w:rPr>
                <w:rFonts w:ascii="Arial" w:eastAsia="Times New Roman" w:hAnsi="Arial" w:cs="Arial"/>
                <w:color w:val="000000"/>
                <w:kern w:val="0"/>
                <w14:ligatures w14:val="none"/>
              </w:rPr>
            </w:pPr>
            <w:r w:rsidRPr="00CF6DBB">
              <w:rPr>
                <w:rFonts w:ascii="Arial" w:eastAsia="Times New Roman" w:hAnsi="Arial" w:cs="Arial"/>
                <w:color w:val="000000"/>
                <w:kern w:val="0"/>
                <w14:ligatures w14:val="none"/>
              </w:rPr>
              <w:t>-9.1%</w:t>
            </w:r>
          </w:p>
        </w:tc>
      </w:tr>
    </w:tbl>
    <w:p w14:paraId="3BE74E38" w14:textId="77777777" w:rsidR="002E6EE0" w:rsidRDefault="002E6EE0"/>
    <w:sectPr w:rsidR="002E6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93"/>
    <w:rsid w:val="002C0DED"/>
    <w:rsid w:val="002E6EE0"/>
    <w:rsid w:val="00415018"/>
    <w:rsid w:val="00484077"/>
    <w:rsid w:val="00596941"/>
    <w:rsid w:val="005D246E"/>
    <w:rsid w:val="00637123"/>
    <w:rsid w:val="006E22D4"/>
    <w:rsid w:val="009569AC"/>
    <w:rsid w:val="00AE2889"/>
    <w:rsid w:val="00B01793"/>
    <w:rsid w:val="00B35B21"/>
    <w:rsid w:val="00BA103A"/>
    <w:rsid w:val="00BC140C"/>
    <w:rsid w:val="00CB5153"/>
    <w:rsid w:val="00CF6DBB"/>
    <w:rsid w:val="00E0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5683"/>
  <w15:chartTrackingRefBased/>
  <w15:docId w15:val="{E2DED701-93D9-4216-B95E-F9975D2B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ED"/>
    <w:pPr>
      <w:spacing w:line="240" w:lineRule="auto"/>
    </w:pPr>
    <w:rPr>
      <w:rFonts w:ascii="Garamond" w:hAnsi="Garamond"/>
    </w:rPr>
  </w:style>
  <w:style w:type="paragraph" w:styleId="Heading1">
    <w:name w:val="heading 1"/>
    <w:basedOn w:val="Normal"/>
    <w:next w:val="Normal"/>
    <w:link w:val="Heading1Char"/>
    <w:uiPriority w:val="9"/>
    <w:qFormat/>
    <w:rsid w:val="00BC140C"/>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5D246E"/>
    <w:pPr>
      <w:keepNext/>
      <w:keepLines/>
      <w:outlineLvl w:val="1"/>
    </w:pPr>
    <w:rPr>
      <w:rFonts w:eastAsiaTheme="majorEastAsia" w:cstheme="majorBidi"/>
      <w:b/>
      <w:bCs/>
      <w:sz w:val="28"/>
      <w:szCs w:val="28"/>
    </w:rPr>
  </w:style>
  <w:style w:type="paragraph" w:styleId="Heading3">
    <w:name w:val="heading 3"/>
    <w:basedOn w:val="Normal"/>
    <w:next w:val="Normal"/>
    <w:link w:val="Heading3Char"/>
    <w:autoRedefine/>
    <w:uiPriority w:val="9"/>
    <w:unhideWhenUsed/>
    <w:qFormat/>
    <w:rsid w:val="00BC140C"/>
    <w:pPr>
      <w:outlineLvl w:val="2"/>
    </w:pPr>
    <w:rPr>
      <w:b/>
      <w:bCs/>
      <w:u w:val="single"/>
    </w:rPr>
  </w:style>
  <w:style w:type="paragraph" w:styleId="Heading4">
    <w:name w:val="heading 4"/>
    <w:basedOn w:val="Normal"/>
    <w:next w:val="Normal"/>
    <w:link w:val="Heading4Char"/>
    <w:uiPriority w:val="9"/>
    <w:semiHidden/>
    <w:unhideWhenUsed/>
    <w:qFormat/>
    <w:rsid w:val="00B017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17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17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17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17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17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96941"/>
    <w:rPr>
      <w:i/>
      <w:iCs/>
      <w:color w:val="0E2841" w:themeColor="text2"/>
      <w:kern w:val="0"/>
      <w:szCs w:val="18"/>
      <w14:ligatures w14:val="none"/>
    </w:rPr>
  </w:style>
  <w:style w:type="character" w:customStyle="1" w:styleId="Heading1Char">
    <w:name w:val="Heading 1 Char"/>
    <w:basedOn w:val="DefaultParagraphFont"/>
    <w:link w:val="Heading1"/>
    <w:uiPriority w:val="9"/>
    <w:rsid w:val="00BC140C"/>
    <w:rPr>
      <w:rFonts w:ascii="Garamond" w:eastAsiaTheme="majorEastAsia" w:hAnsi="Garamond" w:cstheme="majorBidi"/>
      <w:b/>
      <w:sz w:val="40"/>
      <w:szCs w:val="40"/>
    </w:rPr>
  </w:style>
  <w:style w:type="character" w:customStyle="1" w:styleId="Heading2Char">
    <w:name w:val="Heading 2 Char"/>
    <w:basedOn w:val="DefaultParagraphFont"/>
    <w:link w:val="Heading2"/>
    <w:uiPriority w:val="9"/>
    <w:rsid w:val="005D246E"/>
    <w:rPr>
      <w:rFonts w:ascii="Garamond" w:eastAsiaTheme="majorEastAsia" w:hAnsi="Garamond" w:cstheme="majorBidi"/>
      <w:b/>
      <w:bCs/>
      <w:sz w:val="28"/>
      <w:szCs w:val="28"/>
    </w:rPr>
  </w:style>
  <w:style w:type="character" w:customStyle="1" w:styleId="Heading3Char">
    <w:name w:val="Heading 3 Char"/>
    <w:basedOn w:val="DefaultParagraphFont"/>
    <w:link w:val="Heading3"/>
    <w:uiPriority w:val="9"/>
    <w:rsid w:val="00BC140C"/>
    <w:rPr>
      <w:rFonts w:ascii="Garamond" w:hAnsi="Garamond"/>
      <w:b/>
      <w:bCs/>
      <w:u w:val="single"/>
    </w:rPr>
  </w:style>
  <w:style w:type="character" w:customStyle="1" w:styleId="Heading4Char">
    <w:name w:val="Heading 4 Char"/>
    <w:basedOn w:val="DefaultParagraphFont"/>
    <w:link w:val="Heading4"/>
    <w:uiPriority w:val="9"/>
    <w:semiHidden/>
    <w:rsid w:val="00B01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793"/>
    <w:rPr>
      <w:rFonts w:eastAsiaTheme="majorEastAsia" w:cstheme="majorBidi"/>
      <w:color w:val="272727" w:themeColor="text1" w:themeTint="D8"/>
    </w:rPr>
  </w:style>
  <w:style w:type="paragraph" w:styleId="Title">
    <w:name w:val="Title"/>
    <w:basedOn w:val="Normal"/>
    <w:next w:val="Normal"/>
    <w:link w:val="TitleChar"/>
    <w:uiPriority w:val="10"/>
    <w:qFormat/>
    <w:rsid w:val="00B017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7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7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1793"/>
    <w:rPr>
      <w:rFonts w:ascii="Garamond" w:hAnsi="Garamond"/>
      <w:i/>
      <w:iCs/>
      <w:color w:val="404040" w:themeColor="text1" w:themeTint="BF"/>
    </w:rPr>
  </w:style>
  <w:style w:type="paragraph" w:styleId="ListParagraph">
    <w:name w:val="List Paragraph"/>
    <w:basedOn w:val="Normal"/>
    <w:uiPriority w:val="34"/>
    <w:qFormat/>
    <w:rsid w:val="00B01793"/>
    <w:pPr>
      <w:ind w:left="720"/>
      <w:contextualSpacing/>
    </w:pPr>
  </w:style>
  <w:style w:type="character" w:styleId="IntenseEmphasis">
    <w:name w:val="Intense Emphasis"/>
    <w:basedOn w:val="DefaultParagraphFont"/>
    <w:uiPriority w:val="21"/>
    <w:qFormat/>
    <w:rsid w:val="00B01793"/>
    <w:rPr>
      <w:i/>
      <w:iCs/>
      <w:color w:val="0F4761" w:themeColor="accent1" w:themeShade="BF"/>
    </w:rPr>
  </w:style>
  <w:style w:type="paragraph" w:styleId="IntenseQuote">
    <w:name w:val="Intense Quote"/>
    <w:basedOn w:val="Normal"/>
    <w:next w:val="Normal"/>
    <w:link w:val="IntenseQuoteChar"/>
    <w:uiPriority w:val="30"/>
    <w:qFormat/>
    <w:rsid w:val="00B01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793"/>
    <w:rPr>
      <w:rFonts w:ascii="Garamond" w:hAnsi="Garamond"/>
      <w:i/>
      <w:iCs/>
      <w:color w:val="0F4761" w:themeColor="accent1" w:themeShade="BF"/>
    </w:rPr>
  </w:style>
  <w:style w:type="character" w:styleId="IntenseReference">
    <w:name w:val="Intense Reference"/>
    <w:basedOn w:val="DefaultParagraphFont"/>
    <w:uiPriority w:val="32"/>
    <w:qFormat/>
    <w:rsid w:val="00B01793"/>
    <w:rPr>
      <w:b/>
      <w:bCs/>
      <w:smallCaps/>
      <w:color w:val="0F4761" w:themeColor="accent1" w:themeShade="BF"/>
      <w:spacing w:val="5"/>
    </w:rPr>
  </w:style>
  <w:style w:type="character" w:styleId="Hyperlink">
    <w:name w:val="Hyperlink"/>
    <w:basedOn w:val="DefaultParagraphFont"/>
    <w:uiPriority w:val="99"/>
    <w:semiHidden/>
    <w:unhideWhenUsed/>
    <w:rsid w:val="00CF6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cbrtcfj.cmail19.com/t/j-l-oldtljl-udtueluu-h/"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Kahoe</dc:creator>
  <cp:keywords/>
  <dc:description/>
  <cp:lastModifiedBy>Michael Kahoe</cp:lastModifiedBy>
  <cp:revision>2</cp:revision>
  <dcterms:created xsi:type="dcterms:W3CDTF">2026-05-05T19:21:00Z</dcterms:created>
  <dcterms:modified xsi:type="dcterms:W3CDTF">2026-05-05T19:40:00Z</dcterms:modified>
</cp:coreProperties>
</file>