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AF97" w14:textId="77777777" w:rsidR="00573A3C" w:rsidRDefault="00573A3C"/>
    <w:tbl>
      <w:tblPr>
        <w:tblW w:w="5000" w:type="pct"/>
        <w:tblLook w:val="04A0" w:firstRow="1" w:lastRow="0" w:firstColumn="1" w:lastColumn="0" w:noHBand="0" w:noVBand="1"/>
      </w:tblPr>
      <w:tblGrid>
        <w:gridCol w:w="1303"/>
        <w:gridCol w:w="674"/>
        <w:gridCol w:w="186"/>
        <w:gridCol w:w="1207"/>
        <w:gridCol w:w="720"/>
        <w:gridCol w:w="2618"/>
        <w:gridCol w:w="1355"/>
        <w:gridCol w:w="1297"/>
      </w:tblGrid>
      <w:tr w:rsidR="00855036" w:rsidRPr="00855036" w14:paraId="0A12BEB6" w14:textId="77777777" w:rsidTr="00E01FE2">
        <w:trPr>
          <w:trHeight w:val="600"/>
        </w:trPr>
        <w:tc>
          <w:tcPr>
            <w:tcW w:w="5000" w:type="pct"/>
            <w:gridSpan w:val="8"/>
            <w:tcBorders>
              <w:top w:val="nil"/>
              <w:left w:val="nil"/>
              <w:bottom w:val="nil"/>
              <w:right w:val="nil"/>
            </w:tcBorders>
            <w:vAlign w:val="bottom"/>
            <w:hideMark/>
          </w:tcPr>
          <w:p w14:paraId="0D1F6FDA" w14:textId="77777777" w:rsidR="00855036" w:rsidRPr="00855036" w:rsidRDefault="00855036" w:rsidP="00855036">
            <w:pPr>
              <w:jc w:val="center"/>
              <w:rPr>
                <w:rFonts w:ascii="Georgia" w:eastAsia="Times New Roman" w:hAnsi="Georgia" w:cs="Calibri"/>
                <w:color w:val="53BA2D"/>
                <w:kern w:val="0"/>
                <w:sz w:val="48"/>
                <w:szCs w:val="48"/>
                <w14:ligatures w14:val="none"/>
              </w:rPr>
            </w:pPr>
            <w:r w:rsidRPr="00855036">
              <w:rPr>
                <w:rFonts w:ascii="Georgia" w:eastAsia="Times New Roman" w:hAnsi="Georgia" w:cs="Calibri"/>
                <w:color w:val="53BA2D"/>
                <w:kern w:val="0"/>
                <w:sz w:val="48"/>
                <w:szCs w:val="48"/>
                <w14:ligatures w14:val="none"/>
              </w:rPr>
              <w:t>California Energy Price Data for</w:t>
            </w:r>
          </w:p>
        </w:tc>
      </w:tr>
      <w:tr w:rsidR="00855036" w:rsidRPr="00855036" w14:paraId="6ADE01E5" w14:textId="77777777" w:rsidTr="00E01FE2">
        <w:trPr>
          <w:trHeight w:val="600"/>
        </w:trPr>
        <w:tc>
          <w:tcPr>
            <w:tcW w:w="5000" w:type="pct"/>
            <w:gridSpan w:val="8"/>
            <w:tcBorders>
              <w:top w:val="nil"/>
              <w:left w:val="nil"/>
              <w:bottom w:val="nil"/>
              <w:right w:val="nil"/>
            </w:tcBorders>
            <w:vAlign w:val="bottom"/>
            <w:hideMark/>
          </w:tcPr>
          <w:p w14:paraId="0C2B0EA8" w14:textId="77777777" w:rsidR="00855036" w:rsidRPr="00855036" w:rsidRDefault="00855036" w:rsidP="00855036">
            <w:pPr>
              <w:jc w:val="center"/>
              <w:rPr>
                <w:rFonts w:ascii="Georgia" w:eastAsia="Times New Roman" w:hAnsi="Georgia" w:cs="Calibri"/>
                <w:b/>
                <w:bCs/>
                <w:color w:val="92D050"/>
                <w:kern w:val="0"/>
                <w:sz w:val="48"/>
                <w:szCs w:val="48"/>
                <w14:ligatures w14:val="none"/>
              </w:rPr>
            </w:pPr>
            <w:r w:rsidRPr="00855036">
              <w:rPr>
                <w:rFonts w:ascii="Georgia" w:eastAsia="Times New Roman" w:hAnsi="Georgia" w:cs="Calibri"/>
                <w:b/>
                <w:bCs/>
                <w:color w:val="92D050"/>
                <w:kern w:val="0"/>
                <w:sz w:val="48"/>
                <w:szCs w:val="48"/>
                <w14:ligatures w14:val="none"/>
              </w:rPr>
              <w:t>October 2025</w:t>
            </w:r>
          </w:p>
        </w:tc>
      </w:tr>
      <w:tr w:rsidR="00855036" w:rsidRPr="00855036" w14:paraId="5F8CFD8A" w14:textId="77777777" w:rsidTr="00331E72">
        <w:trPr>
          <w:trHeight w:val="300"/>
        </w:trPr>
        <w:tc>
          <w:tcPr>
            <w:tcW w:w="1155" w:type="pct"/>
            <w:gridSpan w:val="3"/>
            <w:tcBorders>
              <w:top w:val="nil"/>
              <w:left w:val="nil"/>
              <w:bottom w:val="nil"/>
              <w:right w:val="nil"/>
            </w:tcBorders>
            <w:vAlign w:val="bottom"/>
            <w:hideMark/>
          </w:tcPr>
          <w:p w14:paraId="61FB973D" w14:textId="77777777" w:rsidR="00855036" w:rsidRPr="00855036" w:rsidRDefault="00855036" w:rsidP="00855036">
            <w:pPr>
              <w:jc w:val="center"/>
              <w:rPr>
                <w:rFonts w:ascii="Georgia" w:eastAsia="Times New Roman" w:hAnsi="Georgia" w:cs="Calibri"/>
                <w:b/>
                <w:bCs/>
                <w:color w:val="92D050"/>
                <w:kern w:val="0"/>
                <w:sz w:val="48"/>
                <w:szCs w:val="48"/>
                <w14:ligatures w14:val="none"/>
              </w:rPr>
            </w:pPr>
          </w:p>
        </w:tc>
        <w:tc>
          <w:tcPr>
            <w:tcW w:w="2428" w:type="pct"/>
            <w:gridSpan w:val="3"/>
            <w:tcBorders>
              <w:top w:val="nil"/>
              <w:left w:val="nil"/>
              <w:bottom w:val="nil"/>
              <w:right w:val="nil"/>
            </w:tcBorders>
            <w:noWrap/>
            <w:vAlign w:val="bottom"/>
            <w:hideMark/>
          </w:tcPr>
          <w:p w14:paraId="0BE5F27A" w14:textId="261B649E" w:rsidR="00855036" w:rsidRPr="00855036" w:rsidRDefault="00855036" w:rsidP="00855036">
            <w:pPr>
              <w:rPr>
                <w:rFonts w:ascii="Calibri" w:eastAsia="Times New Roman" w:hAnsi="Calibri" w:cs="Calibri"/>
                <w:color w:val="000000"/>
                <w:kern w:val="0"/>
                <w14:ligatures w14:val="none"/>
              </w:rPr>
            </w:pPr>
          </w:p>
        </w:tc>
        <w:tc>
          <w:tcPr>
            <w:tcW w:w="724" w:type="pct"/>
            <w:tcBorders>
              <w:top w:val="nil"/>
              <w:left w:val="nil"/>
              <w:bottom w:val="nil"/>
              <w:right w:val="nil"/>
            </w:tcBorders>
            <w:noWrap/>
            <w:vAlign w:val="bottom"/>
            <w:hideMark/>
          </w:tcPr>
          <w:p w14:paraId="0F93FAB4"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B0590B3"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251170B0" w14:textId="77777777" w:rsidTr="00331E72">
        <w:trPr>
          <w:trHeight w:val="300"/>
        </w:trPr>
        <w:tc>
          <w:tcPr>
            <w:tcW w:w="1155" w:type="pct"/>
            <w:gridSpan w:val="3"/>
            <w:tcBorders>
              <w:top w:val="nil"/>
              <w:left w:val="nil"/>
              <w:bottom w:val="nil"/>
              <w:right w:val="nil"/>
            </w:tcBorders>
            <w:vAlign w:val="bottom"/>
            <w:hideMark/>
          </w:tcPr>
          <w:p w14:paraId="3EE78128"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noWrap/>
            <w:vAlign w:val="bottom"/>
            <w:hideMark/>
          </w:tcPr>
          <w:p w14:paraId="5252B63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4A246DC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293A442"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31961CB" w14:textId="77777777" w:rsidTr="00767316">
        <w:trPr>
          <w:trHeight w:val="900"/>
        </w:trPr>
        <w:tc>
          <w:tcPr>
            <w:tcW w:w="5000" w:type="pct"/>
            <w:gridSpan w:val="8"/>
            <w:tcBorders>
              <w:top w:val="nil"/>
              <w:left w:val="nil"/>
              <w:bottom w:val="nil"/>
              <w:right w:val="nil"/>
            </w:tcBorders>
            <w:vAlign w:val="bottom"/>
            <w:hideMark/>
          </w:tcPr>
          <w:p w14:paraId="6D50132A" w14:textId="09D76CFD" w:rsid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Below are the monthly updates from the most current October 2025 fuel price data (GasBuddy.com) and August 2025 electricity and natural gas price data (US Energy Information Administration). To view additional data and analysis related to the California economy visit our website at </w:t>
            </w:r>
            <w:hyperlink r:id="rId5" w:history="1">
              <w:r w:rsidR="00A1616A" w:rsidRPr="00855036">
                <w:rPr>
                  <w:rStyle w:val="Hyperlink"/>
                  <w:rFonts w:ascii="Calibri" w:eastAsia="Times New Roman" w:hAnsi="Calibri" w:cs="Calibri"/>
                  <w:kern w:val="0"/>
                  <w14:ligatures w14:val="none"/>
                </w:rPr>
                <w:t>www.centerforjobs.org/ca</w:t>
              </w:r>
            </w:hyperlink>
            <w:r w:rsidRPr="00855036">
              <w:rPr>
                <w:rFonts w:ascii="Calibri" w:eastAsia="Times New Roman" w:hAnsi="Calibri" w:cs="Calibri"/>
                <w:color w:val="000000"/>
                <w:kern w:val="0"/>
                <w14:ligatures w14:val="none"/>
              </w:rPr>
              <w:t>.</w:t>
            </w:r>
          </w:p>
          <w:p w14:paraId="08D03E63" w14:textId="77777777" w:rsidR="00FA6D1D" w:rsidRDefault="00FA6D1D" w:rsidP="00855036">
            <w:pPr>
              <w:rPr>
                <w:rFonts w:ascii="Calibri" w:eastAsia="Times New Roman" w:hAnsi="Calibri" w:cs="Calibri"/>
                <w:color w:val="000000"/>
                <w:kern w:val="0"/>
                <w14:ligatures w14:val="none"/>
              </w:rPr>
            </w:pPr>
          </w:p>
          <w:p w14:paraId="772E0309" w14:textId="4244DB0B" w:rsidR="00FA6D1D" w:rsidRPr="00331E72" w:rsidRDefault="00FA6D1D" w:rsidP="00855036">
            <w:pPr>
              <w:rPr>
                <w:rFonts w:ascii="Calibri" w:eastAsia="Times New Roman" w:hAnsi="Calibri" w:cs="Calibri"/>
                <w:b/>
                <w:bCs/>
                <w:color w:val="000000"/>
                <w:kern w:val="0"/>
                <w:sz w:val="36"/>
                <w:szCs w:val="36"/>
                <w14:ligatures w14:val="none"/>
              </w:rPr>
            </w:pPr>
            <w:r w:rsidRPr="00331E72">
              <w:rPr>
                <w:rFonts w:ascii="Calibri" w:eastAsia="Times New Roman" w:hAnsi="Calibri" w:cs="Calibri"/>
                <w:b/>
                <w:bCs/>
                <w:color w:val="000000"/>
                <w:kern w:val="0"/>
                <w:sz w:val="36"/>
                <w:szCs w:val="36"/>
                <w14:ligatures w14:val="none"/>
              </w:rPr>
              <w:t>October Overview</w:t>
            </w:r>
          </w:p>
          <w:p w14:paraId="56217AE9" w14:textId="77777777" w:rsidR="00FA6D1D" w:rsidRDefault="00FA6D1D" w:rsidP="00855036">
            <w:pPr>
              <w:rPr>
                <w:rFonts w:ascii="Calibri" w:eastAsia="Times New Roman" w:hAnsi="Calibri" w:cs="Calibri"/>
                <w:color w:val="000000"/>
                <w:kern w:val="0"/>
                <w14:ligatures w14:val="none"/>
              </w:rPr>
            </w:pPr>
          </w:p>
          <w:p w14:paraId="6ED59143" w14:textId="279F3AE7" w:rsidR="00FA6D1D" w:rsidRDefault="00D0240B"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Gasoline and diesel </w:t>
            </w:r>
            <w:r w:rsidR="00443911">
              <w:rPr>
                <w:rFonts w:ascii="Calibri" w:eastAsia="Times New Roman" w:hAnsi="Calibri" w:cs="Calibri"/>
                <w:color w:val="000000"/>
                <w:kern w:val="0"/>
                <w14:ligatures w14:val="none"/>
              </w:rPr>
              <w:t xml:space="preserve">price levels showed </w:t>
            </w:r>
            <w:r w:rsidR="00B37F11">
              <w:rPr>
                <w:rFonts w:ascii="Calibri" w:eastAsia="Times New Roman" w:hAnsi="Calibri" w:cs="Calibri"/>
                <w:color w:val="000000"/>
                <w:kern w:val="0"/>
                <w14:ligatures w14:val="none"/>
              </w:rPr>
              <w:t>minor</w:t>
            </w:r>
            <w:r w:rsidR="00443911">
              <w:rPr>
                <w:rFonts w:ascii="Calibri" w:eastAsia="Times New Roman" w:hAnsi="Calibri" w:cs="Calibri"/>
                <w:color w:val="000000"/>
                <w:kern w:val="0"/>
                <w14:ligatures w14:val="none"/>
              </w:rPr>
              <w:t xml:space="preserve"> effect</w:t>
            </w:r>
            <w:r w:rsidR="00B37F11">
              <w:rPr>
                <w:rFonts w:ascii="Calibri" w:eastAsia="Times New Roman" w:hAnsi="Calibri" w:cs="Calibri"/>
                <w:color w:val="000000"/>
                <w:kern w:val="0"/>
                <w14:ligatures w14:val="none"/>
              </w:rPr>
              <w:t>s</w:t>
            </w:r>
            <w:r w:rsidR="00443911">
              <w:rPr>
                <w:rFonts w:ascii="Calibri" w:eastAsia="Times New Roman" w:hAnsi="Calibri" w:cs="Calibri"/>
                <w:color w:val="000000"/>
                <w:kern w:val="0"/>
                <w14:ligatures w14:val="none"/>
              </w:rPr>
              <w:t xml:space="preserve"> in October from the</w:t>
            </w:r>
            <w:r w:rsidR="00767316">
              <w:rPr>
                <w:rFonts w:ascii="Calibri" w:eastAsia="Times New Roman" w:hAnsi="Calibri" w:cs="Calibri"/>
                <w:color w:val="000000"/>
                <w:kern w:val="0"/>
                <w14:ligatures w14:val="none"/>
              </w:rPr>
              <w:t xml:space="preserve"> October 3</w:t>
            </w:r>
            <w:r w:rsidR="00443911">
              <w:rPr>
                <w:rFonts w:ascii="Calibri" w:eastAsia="Times New Roman" w:hAnsi="Calibri" w:cs="Calibri"/>
                <w:color w:val="000000"/>
                <w:kern w:val="0"/>
                <w14:ligatures w14:val="none"/>
              </w:rPr>
              <w:t xml:space="preserve"> El Segundo Refinery Fire, with overall </w:t>
            </w:r>
            <w:r w:rsidR="00767316">
              <w:rPr>
                <w:rFonts w:ascii="Calibri" w:eastAsia="Times New Roman" w:hAnsi="Calibri" w:cs="Calibri"/>
                <w:color w:val="000000"/>
                <w:kern w:val="0"/>
                <w14:ligatures w14:val="none"/>
              </w:rPr>
              <w:t xml:space="preserve">average </w:t>
            </w:r>
            <w:r w:rsidR="00443911">
              <w:rPr>
                <w:rFonts w:ascii="Calibri" w:eastAsia="Times New Roman" w:hAnsi="Calibri" w:cs="Calibri"/>
                <w:color w:val="000000"/>
                <w:kern w:val="0"/>
                <w14:ligatures w14:val="none"/>
              </w:rPr>
              <w:t>prices in California largely stable throughout the month</w:t>
            </w:r>
            <w:r w:rsidR="00862806">
              <w:rPr>
                <w:rFonts w:ascii="Calibri" w:eastAsia="Times New Roman" w:hAnsi="Calibri" w:cs="Calibri"/>
                <w:color w:val="000000"/>
                <w:kern w:val="0"/>
                <w14:ligatures w14:val="none"/>
              </w:rPr>
              <w:t xml:space="preserve"> but with some moderate increases in some regions</w:t>
            </w:r>
            <w:r w:rsidR="00443911">
              <w:rPr>
                <w:rFonts w:ascii="Calibri" w:eastAsia="Times New Roman" w:hAnsi="Calibri" w:cs="Calibri"/>
                <w:color w:val="000000"/>
                <w:kern w:val="0"/>
                <w14:ligatures w14:val="none"/>
              </w:rPr>
              <w:t>.  The primary price effect was seen in the spread between prices in the state and in the rest of the country, which grew by 11 cents on average from September as prices in the other states (with the exception of some prices in the Midwest as the result of refinery disruption) more directly reflect</w:t>
            </w:r>
            <w:r>
              <w:rPr>
                <w:rFonts w:ascii="Calibri" w:eastAsia="Times New Roman" w:hAnsi="Calibri" w:cs="Calibri"/>
                <w:color w:val="000000"/>
                <w:kern w:val="0"/>
                <w14:ligatures w14:val="none"/>
              </w:rPr>
              <w:t>ed</w:t>
            </w:r>
            <w:r w:rsidR="00443911">
              <w:rPr>
                <w:rFonts w:ascii="Calibri" w:eastAsia="Times New Roman" w:hAnsi="Calibri" w:cs="Calibri"/>
                <w:color w:val="000000"/>
                <w:kern w:val="0"/>
                <w14:ligatures w14:val="none"/>
              </w:rPr>
              <w:t xml:space="preserve"> softening crude prices. </w:t>
            </w:r>
            <w:r w:rsidR="00D20346">
              <w:rPr>
                <w:rFonts w:ascii="Calibri" w:eastAsia="Times New Roman" w:hAnsi="Calibri" w:cs="Calibri"/>
                <w:color w:val="000000"/>
                <w:kern w:val="0"/>
                <w14:ligatures w14:val="none"/>
              </w:rPr>
              <w:t xml:space="preserve">  </w:t>
            </w:r>
          </w:p>
          <w:p w14:paraId="0A1F82D1" w14:textId="77777777" w:rsidR="00D20346" w:rsidRDefault="00D20346" w:rsidP="00855036">
            <w:pPr>
              <w:rPr>
                <w:rFonts w:ascii="Calibri" w:eastAsia="Times New Roman" w:hAnsi="Calibri" w:cs="Calibri"/>
                <w:color w:val="000000"/>
                <w:kern w:val="0"/>
                <w14:ligatures w14:val="none"/>
              </w:rPr>
            </w:pPr>
          </w:p>
          <w:tbl>
            <w:tblPr>
              <w:tblW w:w="3780" w:type="dxa"/>
              <w:tblLook w:val="04A0" w:firstRow="1" w:lastRow="0" w:firstColumn="1" w:lastColumn="0" w:noHBand="0" w:noVBand="1"/>
            </w:tblPr>
            <w:tblGrid>
              <w:gridCol w:w="480"/>
              <w:gridCol w:w="1564"/>
              <w:gridCol w:w="1736"/>
            </w:tblGrid>
            <w:tr w:rsidR="00D20346" w:rsidRPr="00D20346" w14:paraId="629CE629" w14:textId="77777777" w:rsidTr="00D20346">
              <w:trPr>
                <w:trHeight w:val="300"/>
              </w:trPr>
              <w:tc>
                <w:tcPr>
                  <w:tcW w:w="3780" w:type="dxa"/>
                  <w:gridSpan w:val="3"/>
                  <w:tcBorders>
                    <w:top w:val="nil"/>
                    <w:left w:val="nil"/>
                    <w:bottom w:val="nil"/>
                    <w:right w:val="nil"/>
                  </w:tcBorders>
                  <w:noWrap/>
                  <w:vAlign w:val="center"/>
                  <w:hideMark/>
                </w:tcPr>
                <w:p w14:paraId="189D38E8" w14:textId="77777777" w:rsidR="00D20346" w:rsidRPr="00D20346" w:rsidRDefault="00D20346" w:rsidP="00D20346">
                  <w:pPr>
                    <w:rPr>
                      <w:rFonts w:ascii="Calibri" w:eastAsia="Times New Roman" w:hAnsi="Calibri" w:cs="Calibri"/>
                      <w:b/>
                      <w:bCs/>
                      <w:color w:val="000000"/>
                      <w:kern w:val="0"/>
                      <w14:ligatures w14:val="none"/>
                    </w:rPr>
                  </w:pPr>
                  <w:r w:rsidRPr="00D20346">
                    <w:rPr>
                      <w:rFonts w:ascii="Calibri" w:eastAsia="Times New Roman" w:hAnsi="Calibri" w:cs="Calibri"/>
                      <w:b/>
                      <w:bCs/>
                      <w:color w:val="000000"/>
                      <w:kern w:val="0"/>
                      <w14:ligatures w14:val="none"/>
                    </w:rPr>
                    <w:t>Average Daily Price, Regular Gasoline</w:t>
                  </w:r>
                </w:p>
              </w:tc>
            </w:tr>
            <w:tr w:rsidR="00D20346" w:rsidRPr="00D20346" w14:paraId="20519381" w14:textId="77777777" w:rsidTr="00D20346">
              <w:trPr>
                <w:trHeight w:val="153"/>
              </w:trPr>
              <w:tc>
                <w:tcPr>
                  <w:tcW w:w="3780" w:type="dxa"/>
                  <w:gridSpan w:val="3"/>
                  <w:tcBorders>
                    <w:top w:val="nil"/>
                    <w:left w:val="nil"/>
                    <w:bottom w:val="nil"/>
                    <w:right w:val="nil"/>
                  </w:tcBorders>
                  <w:noWrap/>
                  <w:vAlign w:val="center"/>
                  <w:hideMark/>
                </w:tcPr>
                <w:p w14:paraId="3836907B" w14:textId="7FD56E77" w:rsidR="00D20346" w:rsidRPr="00D20346" w:rsidRDefault="00D20346" w:rsidP="00D20346">
                  <w:pPr>
                    <w:rPr>
                      <w:rFonts w:ascii="Calibri" w:eastAsia="Times New Roman" w:hAnsi="Calibri" w:cs="Calibri"/>
                      <w:i/>
                      <w:iCs/>
                      <w:color w:val="000000"/>
                      <w:kern w:val="0"/>
                      <w:sz w:val="16"/>
                      <w:szCs w:val="16"/>
                      <w14:ligatures w14:val="none"/>
                    </w:rPr>
                  </w:pPr>
                  <w:r w:rsidRPr="00D20346">
                    <w:rPr>
                      <w:rFonts w:ascii="Calibri" w:eastAsia="Times New Roman" w:hAnsi="Calibri" w:cs="Calibri"/>
                      <w:i/>
                      <w:iCs/>
                      <w:color w:val="000000"/>
                      <w:kern w:val="0"/>
                      <w:sz w:val="16"/>
                      <w:szCs w:val="16"/>
                      <w14:ligatures w14:val="none"/>
                    </w:rPr>
                    <w:t xml:space="preserve">Source:  </w:t>
                  </w:r>
                  <w:hyperlink r:id="rId6" w:history="1">
                    <w:r w:rsidRPr="00D20346">
                      <w:rPr>
                        <w:rStyle w:val="Hyperlink"/>
                        <w:rFonts w:ascii="Calibri" w:eastAsia="Times New Roman" w:hAnsi="Calibri" w:cs="Calibri"/>
                        <w:i/>
                        <w:iCs/>
                        <w:kern w:val="0"/>
                        <w:sz w:val="16"/>
                        <w:szCs w:val="16"/>
                        <w14:ligatures w14:val="none"/>
                      </w:rPr>
                      <w:t>AAA</w:t>
                    </w:r>
                  </w:hyperlink>
                </w:p>
              </w:tc>
            </w:tr>
            <w:tr w:rsidR="00D20346" w:rsidRPr="00D20346" w14:paraId="010C856A" w14:textId="77777777" w:rsidTr="00D20346">
              <w:trPr>
                <w:trHeight w:val="55"/>
              </w:trPr>
              <w:tc>
                <w:tcPr>
                  <w:tcW w:w="3780" w:type="dxa"/>
                  <w:gridSpan w:val="3"/>
                  <w:tcBorders>
                    <w:top w:val="nil"/>
                    <w:left w:val="nil"/>
                    <w:bottom w:val="single" w:sz="8" w:space="0" w:color="auto"/>
                    <w:right w:val="nil"/>
                  </w:tcBorders>
                  <w:noWrap/>
                  <w:vAlign w:val="center"/>
                  <w:hideMark/>
                </w:tcPr>
                <w:p w14:paraId="74948703" w14:textId="77777777" w:rsidR="00D20346" w:rsidRPr="00D20346" w:rsidRDefault="00D20346" w:rsidP="00D20346">
                  <w:pPr>
                    <w:jc w:val="cente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 </w:t>
                  </w:r>
                </w:p>
              </w:tc>
            </w:tr>
            <w:tr w:rsidR="00D20346" w:rsidRPr="00D20346" w14:paraId="7737EFC0" w14:textId="77777777" w:rsidTr="00D20346">
              <w:trPr>
                <w:trHeight w:val="315"/>
              </w:trPr>
              <w:tc>
                <w:tcPr>
                  <w:tcW w:w="480" w:type="dxa"/>
                  <w:tcBorders>
                    <w:top w:val="nil"/>
                    <w:left w:val="nil"/>
                    <w:bottom w:val="single" w:sz="8" w:space="0" w:color="auto"/>
                    <w:right w:val="nil"/>
                  </w:tcBorders>
                  <w:noWrap/>
                  <w:vAlign w:val="center"/>
                  <w:hideMark/>
                </w:tcPr>
                <w:p w14:paraId="5866E8C8" w14:textId="77777777" w:rsidR="00D20346" w:rsidRPr="00D20346" w:rsidRDefault="00D20346" w:rsidP="00D20346">
                  <w:pP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 </w:t>
                  </w:r>
                </w:p>
              </w:tc>
              <w:tc>
                <w:tcPr>
                  <w:tcW w:w="1564" w:type="dxa"/>
                  <w:tcBorders>
                    <w:top w:val="nil"/>
                    <w:left w:val="nil"/>
                    <w:bottom w:val="single" w:sz="8" w:space="0" w:color="auto"/>
                    <w:right w:val="nil"/>
                  </w:tcBorders>
                  <w:noWrap/>
                  <w:vAlign w:val="center"/>
                  <w:hideMark/>
                </w:tcPr>
                <w:p w14:paraId="7EFD201D" w14:textId="77777777" w:rsidR="00D20346" w:rsidRPr="00D20346" w:rsidRDefault="00D20346" w:rsidP="00D20346">
                  <w:pPr>
                    <w:jc w:val="right"/>
                    <w:rPr>
                      <w:rFonts w:ascii="Calibri" w:eastAsia="Times New Roman" w:hAnsi="Calibri" w:cs="Calibri"/>
                      <w:b/>
                      <w:bCs/>
                      <w:color w:val="000000"/>
                      <w:kern w:val="0"/>
                      <w:sz w:val="18"/>
                      <w:szCs w:val="18"/>
                      <w14:ligatures w14:val="none"/>
                    </w:rPr>
                  </w:pPr>
                  <w:r w:rsidRPr="00D20346">
                    <w:rPr>
                      <w:rFonts w:ascii="Calibri" w:eastAsia="Times New Roman" w:hAnsi="Calibri" w:cs="Calibri"/>
                      <w:b/>
                      <w:bCs/>
                      <w:color w:val="000000"/>
                      <w:kern w:val="0"/>
                      <w:sz w:val="18"/>
                      <w:szCs w:val="18"/>
                      <w14:ligatures w14:val="none"/>
                    </w:rPr>
                    <w:t>10/2/2025</w:t>
                  </w:r>
                </w:p>
              </w:tc>
              <w:tc>
                <w:tcPr>
                  <w:tcW w:w="1736" w:type="dxa"/>
                  <w:tcBorders>
                    <w:top w:val="nil"/>
                    <w:left w:val="nil"/>
                    <w:bottom w:val="single" w:sz="8" w:space="0" w:color="auto"/>
                    <w:right w:val="nil"/>
                  </w:tcBorders>
                  <w:noWrap/>
                  <w:vAlign w:val="center"/>
                  <w:hideMark/>
                </w:tcPr>
                <w:p w14:paraId="4FC5ED93" w14:textId="77777777" w:rsidR="00D20346" w:rsidRPr="00D20346" w:rsidRDefault="00D20346" w:rsidP="00D20346">
                  <w:pPr>
                    <w:jc w:val="right"/>
                    <w:rPr>
                      <w:rFonts w:ascii="Calibri" w:eastAsia="Times New Roman" w:hAnsi="Calibri" w:cs="Calibri"/>
                      <w:b/>
                      <w:bCs/>
                      <w:color w:val="000000"/>
                      <w:kern w:val="0"/>
                      <w:sz w:val="18"/>
                      <w:szCs w:val="18"/>
                      <w14:ligatures w14:val="none"/>
                    </w:rPr>
                  </w:pPr>
                  <w:r w:rsidRPr="00D20346">
                    <w:rPr>
                      <w:rFonts w:ascii="Calibri" w:eastAsia="Times New Roman" w:hAnsi="Calibri" w:cs="Calibri"/>
                      <w:b/>
                      <w:bCs/>
                      <w:color w:val="000000"/>
                      <w:kern w:val="0"/>
                      <w:sz w:val="18"/>
                      <w:szCs w:val="18"/>
                      <w14:ligatures w14:val="none"/>
                    </w:rPr>
                    <w:t>11/10/2025</w:t>
                  </w:r>
                </w:p>
              </w:tc>
            </w:tr>
            <w:tr w:rsidR="00D20346" w:rsidRPr="00D20346" w14:paraId="6E0D996F" w14:textId="77777777" w:rsidTr="00D20346">
              <w:trPr>
                <w:trHeight w:val="300"/>
              </w:trPr>
              <w:tc>
                <w:tcPr>
                  <w:tcW w:w="480" w:type="dxa"/>
                  <w:tcBorders>
                    <w:top w:val="nil"/>
                    <w:left w:val="nil"/>
                    <w:bottom w:val="nil"/>
                    <w:right w:val="nil"/>
                  </w:tcBorders>
                  <w:noWrap/>
                  <w:vAlign w:val="center"/>
                  <w:hideMark/>
                </w:tcPr>
                <w:p w14:paraId="37F5804D" w14:textId="77777777" w:rsidR="00D20346" w:rsidRPr="00D20346" w:rsidRDefault="00D20346" w:rsidP="00D20346">
                  <w:pPr>
                    <w:jc w:val="cente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US</w:t>
                  </w:r>
                </w:p>
              </w:tc>
              <w:tc>
                <w:tcPr>
                  <w:tcW w:w="1564" w:type="dxa"/>
                  <w:tcBorders>
                    <w:top w:val="nil"/>
                    <w:left w:val="nil"/>
                    <w:bottom w:val="nil"/>
                    <w:right w:val="nil"/>
                  </w:tcBorders>
                  <w:noWrap/>
                  <w:vAlign w:val="center"/>
                  <w:hideMark/>
                </w:tcPr>
                <w:p w14:paraId="6047E502"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$3.16</w:t>
                  </w:r>
                </w:p>
              </w:tc>
              <w:tc>
                <w:tcPr>
                  <w:tcW w:w="1736" w:type="dxa"/>
                  <w:tcBorders>
                    <w:top w:val="nil"/>
                    <w:left w:val="nil"/>
                    <w:bottom w:val="nil"/>
                    <w:right w:val="nil"/>
                  </w:tcBorders>
                  <w:noWrap/>
                  <w:vAlign w:val="center"/>
                  <w:hideMark/>
                </w:tcPr>
                <w:p w14:paraId="4129722A"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$3.07</w:t>
                  </w:r>
                </w:p>
              </w:tc>
            </w:tr>
            <w:tr w:rsidR="00D20346" w:rsidRPr="00D20346" w14:paraId="484D4A2E" w14:textId="77777777" w:rsidTr="00D20346">
              <w:trPr>
                <w:trHeight w:val="300"/>
              </w:trPr>
              <w:tc>
                <w:tcPr>
                  <w:tcW w:w="480" w:type="dxa"/>
                  <w:tcBorders>
                    <w:top w:val="nil"/>
                    <w:left w:val="nil"/>
                    <w:bottom w:val="nil"/>
                    <w:right w:val="nil"/>
                  </w:tcBorders>
                  <w:noWrap/>
                  <w:vAlign w:val="center"/>
                  <w:hideMark/>
                </w:tcPr>
                <w:p w14:paraId="1AC431E9" w14:textId="77777777" w:rsidR="00D20346" w:rsidRPr="00D20346" w:rsidRDefault="00D20346" w:rsidP="00D20346">
                  <w:pPr>
                    <w:jc w:val="cente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CA</w:t>
                  </w:r>
                </w:p>
              </w:tc>
              <w:tc>
                <w:tcPr>
                  <w:tcW w:w="1564" w:type="dxa"/>
                  <w:tcBorders>
                    <w:top w:val="nil"/>
                    <w:left w:val="nil"/>
                    <w:bottom w:val="nil"/>
                    <w:right w:val="nil"/>
                  </w:tcBorders>
                  <w:noWrap/>
                  <w:vAlign w:val="center"/>
                  <w:hideMark/>
                </w:tcPr>
                <w:p w14:paraId="73BB7169"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$4.65</w:t>
                  </w:r>
                </w:p>
              </w:tc>
              <w:tc>
                <w:tcPr>
                  <w:tcW w:w="1736" w:type="dxa"/>
                  <w:tcBorders>
                    <w:top w:val="nil"/>
                    <w:left w:val="nil"/>
                    <w:bottom w:val="nil"/>
                    <w:right w:val="nil"/>
                  </w:tcBorders>
                  <w:noWrap/>
                  <w:vAlign w:val="center"/>
                  <w:hideMark/>
                </w:tcPr>
                <w:p w14:paraId="78FACB11"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$4.72</w:t>
                  </w:r>
                </w:p>
              </w:tc>
            </w:tr>
            <w:tr w:rsidR="00D20346" w:rsidRPr="00D20346" w14:paraId="0EA1BA31" w14:textId="77777777" w:rsidTr="00D20346">
              <w:trPr>
                <w:trHeight w:val="300"/>
              </w:trPr>
              <w:tc>
                <w:tcPr>
                  <w:tcW w:w="480" w:type="dxa"/>
                  <w:tcBorders>
                    <w:top w:val="nil"/>
                    <w:left w:val="nil"/>
                    <w:bottom w:val="nil"/>
                    <w:right w:val="nil"/>
                  </w:tcBorders>
                  <w:noWrap/>
                  <w:vAlign w:val="center"/>
                  <w:hideMark/>
                </w:tcPr>
                <w:p w14:paraId="58239C0E" w14:textId="77777777" w:rsidR="00D20346" w:rsidRPr="00D20346" w:rsidRDefault="00D20346" w:rsidP="00D20346">
                  <w:pPr>
                    <w:jc w:val="cente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LA</w:t>
                  </w:r>
                </w:p>
              </w:tc>
              <w:tc>
                <w:tcPr>
                  <w:tcW w:w="1564" w:type="dxa"/>
                  <w:tcBorders>
                    <w:top w:val="nil"/>
                    <w:left w:val="nil"/>
                    <w:bottom w:val="nil"/>
                    <w:right w:val="nil"/>
                  </w:tcBorders>
                  <w:noWrap/>
                  <w:vAlign w:val="center"/>
                  <w:hideMark/>
                </w:tcPr>
                <w:p w14:paraId="69269AA7"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$4.72</w:t>
                  </w:r>
                </w:p>
              </w:tc>
              <w:tc>
                <w:tcPr>
                  <w:tcW w:w="1736" w:type="dxa"/>
                  <w:tcBorders>
                    <w:top w:val="nil"/>
                    <w:left w:val="nil"/>
                    <w:bottom w:val="nil"/>
                    <w:right w:val="nil"/>
                  </w:tcBorders>
                  <w:noWrap/>
                  <w:vAlign w:val="center"/>
                  <w:hideMark/>
                </w:tcPr>
                <w:p w14:paraId="0907E325"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$4.89</w:t>
                  </w:r>
                </w:p>
              </w:tc>
            </w:tr>
            <w:tr w:rsidR="00D20346" w:rsidRPr="00D20346" w14:paraId="57411454" w14:textId="77777777" w:rsidTr="00D20346">
              <w:trPr>
                <w:trHeight w:val="315"/>
              </w:trPr>
              <w:tc>
                <w:tcPr>
                  <w:tcW w:w="480" w:type="dxa"/>
                  <w:tcBorders>
                    <w:top w:val="nil"/>
                    <w:left w:val="nil"/>
                    <w:bottom w:val="single" w:sz="8" w:space="0" w:color="auto"/>
                    <w:right w:val="nil"/>
                  </w:tcBorders>
                  <w:noWrap/>
                  <w:vAlign w:val="center"/>
                  <w:hideMark/>
                </w:tcPr>
                <w:p w14:paraId="6D70A2AB" w14:textId="77777777" w:rsidR="00D20346" w:rsidRPr="00D20346" w:rsidRDefault="00D20346" w:rsidP="00D20346">
                  <w:pPr>
                    <w:jc w:val="center"/>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SF</w:t>
                  </w:r>
                </w:p>
              </w:tc>
              <w:tc>
                <w:tcPr>
                  <w:tcW w:w="1564" w:type="dxa"/>
                  <w:tcBorders>
                    <w:top w:val="nil"/>
                    <w:left w:val="nil"/>
                    <w:bottom w:val="single" w:sz="8" w:space="0" w:color="auto"/>
                    <w:right w:val="nil"/>
                  </w:tcBorders>
                  <w:noWrap/>
                  <w:vAlign w:val="center"/>
                  <w:hideMark/>
                </w:tcPr>
                <w:p w14:paraId="151D7528"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$4.73</w:t>
                  </w:r>
                </w:p>
              </w:tc>
              <w:tc>
                <w:tcPr>
                  <w:tcW w:w="1736" w:type="dxa"/>
                  <w:tcBorders>
                    <w:top w:val="nil"/>
                    <w:left w:val="nil"/>
                    <w:bottom w:val="single" w:sz="8" w:space="0" w:color="auto"/>
                    <w:right w:val="nil"/>
                  </w:tcBorders>
                  <w:noWrap/>
                  <w:vAlign w:val="center"/>
                  <w:hideMark/>
                </w:tcPr>
                <w:p w14:paraId="26243CE6" w14:textId="77777777" w:rsidR="00D20346" w:rsidRPr="00D20346" w:rsidRDefault="00D20346" w:rsidP="00D20346">
                  <w:pPr>
                    <w:jc w:val="right"/>
                    <w:rPr>
                      <w:rFonts w:ascii="Calibri" w:eastAsia="Times New Roman" w:hAnsi="Calibri" w:cs="Calibri"/>
                      <w:color w:val="000000"/>
                      <w:kern w:val="0"/>
                      <w:sz w:val="20"/>
                      <w:szCs w:val="20"/>
                      <w14:ligatures w14:val="none"/>
                    </w:rPr>
                  </w:pPr>
                  <w:r w:rsidRPr="00D20346">
                    <w:rPr>
                      <w:rFonts w:ascii="Calibri" w:eastAsia="Times New Roman" w:hAnsi="Calibri" w:cs="Calibri"/>
                      <w:color w:val="000000"/>
                      <w:kern w:val="0"/>
                      <w:sz w:val="20"/>
                      <w:szCs w:val="20"/>
                      <w14:ligatures w14:val="none"/>
                    </w:rPr>
                    <w:t>$4.68</w:t>
                  </w:r>
                </w:p>
              </w:tc>
            </w:tr>
          </w:tbl>
          <w:p w14:paraId="1D716D0D" w14:textId="77777777" w:rsidR="00D20346" w:rsidRDefault="00D20346" w:rsidP="00855036">
            <w:pPr>
              <w:rPr>
                <w:rFonts w:ascii="Calibri" w:eastAsia="Times New Roman" w:hAnsi="Calibri" w:cs="Calibri"/>
                <w:color w:val="000000"/>
                <w:kern w:val="0"/>
                <w14:ligatures w14:val="none"/>
              </w:rPr>
            </w:pPr>
          </w:p>
          <w:p w14:paraId="4D49F9E7" w14:textId="2C39B09A" w:rsidR="00D20346" w:rsidRDefault="00D20346"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Southern California, however, has experienced a recent rise in prices due to ongoing refinery maintenance related to the mandated changeover in fuel formulations.  As the region and the state now enter the winter formulation phase, prices should again begin to moderate due to both the increased supply and lower cost aspects of the winter fuels.</w:t>
            </w:r>
          </w:p>
          <w:p w14:paraId="35338697" w14:textId="77777777" w:rsidR="00443911" w:rsidRDefault="00443911" w:rsidP="00855036">
            <w:pPr>
              <w:rPr>
                <w:rFonts w:ascii="Calibri" w:eastAsia="Times New Roman" w:hAnsi="Calibri" w:cs="Calibri"/>
                <w:color w:val="000000"/>
                <w:kern w:val="0"/>
                <w14:ligatures w14:val="none"/>
              </w:rPr>
            </w:pPr>
          </w:p>
          <w:p w14:paraId="044F88ED" w14:textId="2EC9B09D" w:rsidR="00443911" w:rsidRDefault="003341BC"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00443911">
              <w:rPr>
                <w:rFonts w:ascii="Calibri" w:eastAsia="Times New Roman" w:hAnsi="Calibri" w:cs="Calibri"/>
                <w:color w:val="000000"/>
                <w:kern w:val="0"/>
                <w14:ligatures w14:val="none"/>
              </w:rPr>
              <w:t xml:space="preserve">ontinued drops in world crude prices are expected to </w:t>
            </w:r>
            <w:r w:rsidR="00A551BB">
              <w:rPr>
                <w:rFonts w:ascii="Calibri" w:eastAsia="Times New Roman" w:hAnsi="Calibri" w:cs="Calibri"/>
                <w:color w:val="000000"/>
                <w:kern w:val="0"/>
                <w14:ligatures w14:val="none"/>
              </w:rPr>
              <w:t>produce</w:t>
            </w:r>
            <w:r w:rsidR="00443911">
              <w:rPr>
                <w:rFonts w:ascii="Calibri" w:eastAsia="Times New Roman" w:hAnsi="Calibri" w:cs="Calibri"/>
                <w:color w:val="000000"/>
                <w:kern w:val="0"/>
                <w14:ligatures w14:val="none"/>
              </w:rPr>
              <w:t xml:space="preserve"> stronger price improvements in the other states </w:t>
            </w:r>
            <w:r w:rsidR="00E83552">
              <w:rPr>
                <w:rFonts w:ascii="Calibri" w:eastAsia="Times New Roman" w:hAnsi="Calibri" w:cs="Calibri"/>
                <w:color w:val="000000"/>
                <w:kern w:val="0"/>
                <w14:ligatures w14:val="none"/>
              </w:rPr>
              <w:t>over the coming year</w:t>
            </w:r>
            <w:r w:rsidR="00443911">
              <w:rPr>
                <w:rFonts w:ascii="Calibri" w:eastAsia="Times New Roman" w:hAnsi="Calibri" w:cs="Calibri"/>
                <w:color w:val="000000"/>
                <w:kern w:val="0"/>
                <w14:ligatures w14:val="none"/>
              </w:rPr>
              <w:t xml:space="preserve">.  The most recent </w:t>
            </w:r>
            <w:hyperlink r:id="rId7" w:anchor="/?v=10&amp;f=A&amp;s=0&amp;maptype=0&amp;ctype=linechart" w:history="1">
              <w:r w:rsidR="00443911" w:rsidRPr="00443911">
                <w:rPr>
                  <w:rStyle w:val="Hyperlink"/>
                  <w:rFonts w:ascii="Calibri" w:eastAsia="Times New Roman" w:hAnsi="Calibri" w:cs="Calibri"/>
                  <w:kern w:val="0"/>
                  <w14:ligatures w14:val="none"/>
                </w:rPr>
                <w:t>Short Term Energy Outlook</w:t>
              </w:r>
            </w:hyperlink>
            <w:r w:rsidR="00443911">
              <w:rPr>
                <w:rFonts w:ascii="Calibri" w:eastAsia="Times New Roman" w:hAnsi="Calibri" w:cs="Calibri"/>
                <w:color w:val="000000"/>
                <w:kern w:val="0"/>
                <w14:ligatures w14:val="none"/>
              </w:rPr>
              <w:t xml:space="preserve"> from Energy Information Administration </w:t>
            </w:r>
            <w:r w:rsidR="002B5884">
              <w:rPr>
                <w:rFonts w:ascii="Calibri" w:eastAsia="Times New Roman" w:hAnsi="Calibri" w:cs="Calibri"/>
                <w:color w:val="000000"/>
                <w:kern w:val="0"/>
                <w14:ligatures w14:val="none"/>
              </w:rPr>
              <w:t xml:space="preserve">(EIA) </w:t>
            </w:r>
            <w:r w:rsidR="00443911">
              <w:rPr>
                <w:rFonts w:ascii="Calibri" w:eastAsia="Times New Roman" w:hAnsi="Calibri" w:cs="Calibri"/>
                <w:color w:val="000000"/>
                <w:kern w:val="0"/>
                <w14:ligatures w14:val="none"/>
              </w:rPr>
              <w:t xml:space="preserve">now projects </w:t>
            </w:r>
            <w:r w:rsidR="00E83552">
              <w:rPr>
                <w:rFonts w:ascii="Calibri" w:eastAsia="Times New Roman" w:hAnsi="Calibri" w:cs="Calibri"/>
                <w:color w:val="000000"/>
                <w:kern w:val="0"/>
                <w14:ligatures w14:val="none"/>
              </w:rPr>
              <w:t xml:space="preserve">that </w:t>
            </w:r>
            <w:r w:rsidR="00443911">
              <w:rPr>
                <w:rFonts w:ascii="Calibri" w:eastAsia="Times New Roman" w:hAnsi="Calibri" w:cs="Calibri"/>
                <w:color w:val="000000"/>
                <w:kern w:val="0"/>
                <w14:ligatures w14:val="none"/>
              </w:rPr>
              <w:t>national gasoline prices (</w:t>
            </w:r>
            <w:r>
              <w:rPr>
                <w:rFonts w:ascii="Calibri" w:eastAsia="Times New Roman" w:hAnsi="Calibri" w:cs="Calibri"/>
                <w:color w:val="000000"/>
                <w:kern w:val="0"/>
                <w14:ligatures w14:val="none"/>
              </w:rPr>
              <w:t>regular</w:t>
            </w:r>
            <w:r w:rsidR="00443911">
              <w:rPr>
                <w:rFonts w:ascii="Calibri" w:eastAsia="Times New Roman" w:hAnsi="Calibri" w:cs="Calibri"/>
                <w:color w:val="000000"/>
                <w:kern w:val="0"/>
                <w14:ligatures w14:val="none"/>
              </w:rPr>
              <w:t xml:space="preserve">) </w:t>
            </w:r>
            <w:r w:rsidR="00E83552">
              <w:rPr>
                <w:rFonts w:ascii="Calibri" w:eastAsia="Times New Roman" w:hAnsi="Calibri" w:cs="Calibri"/>
                <w:color w:val="000000"/>
                <w:kern w:val="0"/>
                <w14:ligatures w14:val="none"/>
              </w:rPr>
              <w:t>will</w:t>
            </w:r>
            <w:r w:rsidR="00443911">
              <w:rPr>
                <w:rFonts w:ascii="Calibri" w:eastAsia="Times New Roman" w:hAnsi="Calibri" w:cs="Calibri"/>
                <w:color w:val="000000"/>
                <w:kern w:val="0"/>
                <w14:ligatures w14:val="none"/>
              </w:rPr>
              <w:t xml:space="preserve"> fall 7.</w:t>
            </w:r>
            <w:r>
              <w:rPr>
                <w:rFonts w:ascii="Calibri" w:eastAsia="Times New Roman" w:hAnsi="Calibri" w:cs="Calibri"/>
                <w:color w:val="000000"/>
                <w:kern w:val="0"/>
                <w14:ligatures w14:val="none"/>
              </w:rPr>
              <w:t>7</w:t>
            </w:r>
            <w:r w:rsidR="00443911">
              <w:rPr>
                <w:rFonts w:ascii="Calibri" w:eastAsia="Times New Roman" w:hAnsi="Calibri" w:cs="Calibri"/>
                <w:color w:val="000000"/>
                <w:kern w:val="0"/>
                <w14:ligatures w14:val="none"/>
              </w:rPr>
              <w:t>% from $3.</w:t>
            </w:r>
            <w:r>
              <w:rPr>
                <w:rFonts w:ascii="Calibri" w:eastAsia="Times New Roman" w:hAnsi="Calibri" w:cs="Calibri"/>
                <w:color w:val="000000"/>
                <w:kern w:val="0"/>
                <w14:ligatures w14:val="none"/>
              </w:rPr>
              <w:t>11</w:t>
            </w:r>
            <w:r w:rsidR="00443911">
              <w:rPr>
                <w:rFonts w:ascii="Calibri" w:eastAsia="Times New Roman" w:hAnsi="Calibri" w:cs="Calibri"/>
                <w:color w:val="000000"/>
                <w:kern w:val="0"/>
                <w14:ligatures w14:val="none"/>
              </w:rPr>
              <w:t xml:space="preserve"> a gallon in 2025 to $</w:t>
            </w:r>
            <w:r>
              <w:rPr>
                <w:rFonts w:ascii="Calibri" w:eastAsia="Times New Roman" w:hAnsi="Calibri" w:cs="Calibri"/>
                <w:color w:val="000000"/>
                <w:kern w:val="0"/>
                <w14:ligatures w14:val="none"/>
              </w:rPr>
              <w:t>2.87</w:t>
            </w:r>
            <w:r w:rsidR="00443911">
              <w:rPr>
                <w:rFonts w:ascii="Calibri" w:eastAsia="Times New Roman" w:hAnsi="Calibri" w:cs="Calibri"/>
                <w:color w:val="000000"/>
                <w:kern w:val="0"/>
                <w14:ligatures w14:val="none"/>
              </w:rPr>
              <w:t xml:space="preserve"> in 2026</w:t>
            </w:r>
            <w:r>
              <w:rPr>
                <w:rFonts w:ascii="Calibri" w:eastAsia="Times New Roman" w:hAnsi="Calibri" w:cs="Calibri"/>
                <w:color w:val="000000"/>
                <w:kern w:val="0"/>
                <w14:ligatures w14:val="none"/>
              </w:rPr>
              <w:t>, with stronger drops in the Midwest and Gulf Coast states</w:t>
            </w:r>
            <w:r w:rsidR="00443911">
              <w:rPr>
                <w:rFonts w:ascii="Calibri" w:eastAsia="Times New Roman" w:hAnsi="Calibri" w:cs="Calibri"/>
                <w:color w:val="000000"/>
                <w:kern w:val="0"/>
                <w14:ligatures w14:val="none"/>
              </w:rPr>
              <w:t xml:space="preserve">.  PADD 5—which contains California—is expected to see a more moderate 2% </w:t>
            </w:r>
            <w:r w:rsidR="00E83552">
              <w:rPr>
                <w:rFonts w:ascii="Calibri" w:eastAsia="Times New Roman" w:hAnsi="Calibri" w:cs="Calibri"/>
                <w:color w:val="000000"/>
                <w:kern w:val="0"/>
                <w14:ligatures w14:val="none"/>
              </w:rPr>
              <w:t>dip</w:t>
            </w:r>
            <w:r w:rsidR="00443911">
              <w:rPr>
                <w:rFonts w:ascii="Calibri" w:eastAsia="Times New Roman" w:hAnsi="Calibri" w:cs="Calibri"/>
                <w:color w:val="000000"/>
                <w:kern w:val="0"/>
                <w14:ligatures w14:val="none"/>
              </w:rPr>
              <w:t>, going from $4.11 to $4.03</w:t>
            </w:r>
            <w:r>
              <w:rPr>
                <w:rFonts w:ascii="Calibri" w:eastAsia="Times New Roman" w:hAnsi="Calibri" w:cs="Calibri"/>
                <w:color w:val="000000"/>
                <w:kern w:val="0"/>
                <w14:ligatures w14:val="none"/>
              </w:rPr>
              <w:t xml:space="preserve"> as </w:t>
            </w:r>
            <w:hyperlink r:id="rId8" w:history="1">
              <w:r w:rsidRPr="003341BC">
                <w:rPr>
                  <w:rStyle w:val="Hyperlink"/>
                  <w:rFonts w:ascii="Calibri" w:eastAsia="Times New Roman" w:hAnsi="Calibri" w:cs="Calibri"/>
                  <w:kern w:val="0"/>
                  <w14:ligatures w14:val="none"/>
                </w:rPr>
                <w:t>refinery closures</w:t>
              </w:r>
            </w:hyperlink>
            <w:r>
              <w:rPr>
                <w:rFonts w:ascii="Calibri" w:eastAsia="Times New Roman" w:hAnsi="Calibri" w:cs="Calibri"/>
                <w:color w:val="000000"/>
                <w:kern w:val="0"/>
                <w14:ligatures w14:val="none"/>
              </w:rPr>
              <w:t xml:space="preserve"> and limited import capacity </w:t>
            </w:r>
            <w:r w:rsidR="00E83552">
              <w:rPr>
                <w:rFonts w:ascii="Calibri" w:eastAsia="Times New Roman" w:hAnsi="Calibri" w:cs="Calibri"/>
                <w:color w:val="000000"/>
                <w:kern w:val="0"/>
                <w14:ligatures w14:val="none"/>
              </w:rPr>
              <w:t>bring more price volatility to</w:t>
            </w:r>
            <w:r>
              <w:rPr>
                <w:rFonts w:ascii="Calibri" w:eastAsia="Times New Roman" w:hAnsi="Calibri" w:cs="Calibri"/>
                <w:color w:val="000000"/>
                <w:kern w:val="0"/>
                <w14:ligatures w14:val="none"/>
              </w:rPr>
              <w:t xml:space="preserve"> California</w:t>
            </w:r>
            <w:r w:rsidR="00443911">
              <w:rPr>
                <w:rFonts w:ascii="Calibri" w:eastAsia="Times New Roman" w:hAnsi="Calibri" w:cs="Calibri"/>
                <w:color w:val="000000"/>
                <w:kern w:val="0"/>
                <w14:ligatures w14:val="none"/>
              </w:rPr>
              <w:t xml:space="preserve">.  </w:t>
            </w:r>
          </w:p>
          <w:p w14:paraId="271B3308" w14:textId="77777777" w:rsidR="00767316" w:rsidRPr="00767316" w:rsidRDefault="00767316" w:rsidP="00767316">
            <w:pPr>
              <w:rPr>
                <w:rFonts w:ascii="Calibri" w:eastAsia="Times New Roman" w:hAnsi="Calibri" w:cs="Calibri"/>
              </w:rPr>
            </w:pPr>
          </w:p>
          <w:p w14:paraId="291CDB64" w14:textId="77777777" w:rsidR="00767316" w:rsidRPr="00767316" w:rsidRDefault="00767316" w:rsidP="00767316">
            <w:pPr>
              <w:rPr>
                <w:rFonts w:ascii="Calibri" w:eastAsia="Times New Roman" w:hAnsi="Calibri" w:cs="Calibri"/>
              </w:rPr>
            </w:pPr>
          </w:p>
        </w:tc>
      </w:tr>
      <w:tr w:rsidR="00855036" w:rsidRPr="00855036" w14:paraId="442A1D8E" w14:textId="77777777" w:rsidTr="00767316">
        <w:trPr>
          <w:trHeight w:val="189"/>
        </w:trPr>
        <w:tc>
          <w:tcPr>
            <w:tcW w:w="5000" w:type="pct"/>
            <w:gridSpan w:val="8"/>
            <w:tcBorders>
              <w:top w:val="nil"/>
              <w:left w:val="nil"/>
              <w:bottom w:val="nil"/>
              <w:right w:val="nil"/>
            </w:tcBorders>
            <w:vAlign w:val="bottom"/>
            <w:hideMark/>
          </w:tcPr>
          <w:p w14:paraId="0FC99A1E" w14:textId="72EE0A31" w:rsidR="00855036" w:rsidRPr="00855036" w:rsidRDefault="00855036" w:rsidP="00855036">
            <w:pPr>
              <w:spacing w:after="240"/>
              <w:rPr>
                <w:rFonts w:ascii="Calibri" w:eastAsia="Times New Roman" w:hAnsi="Calibri" w:cs="Calibri"/>
                <w:color w:val="000000"/>
                <w:kern w:val="0"/>
                <w14:ligatures w14:val="none"/>
              </w:rPr>
            </w:pPr>
          </w:p>
        </w:tc>
      </w:tr>
      <w:tr w:rsidR="00855036" w:rsidRPr="00855036" w14:paraId="1C32127F" w14:textId="77777777" w:rsidTr="00331E72">
        <w:trPr>
          <w:trHeight w:val="315"/>
        </w:trPr>
        <w:tc>
          <w:tcPr>
            <w:tcW w:w="1155" w:type="pct"/>
            <w:gridSpan w:val="3"/>
            <w:tcBorders>
              <w:top w:val="nil"/>
              <w:left w:val="nil"/>
              <w:bottom w:val="nil"/>
              <w:right w:val="nil"/>
            </w:tcBorders>
            <w:vAlign w:val="bottom"/>
            <w:hideMark/>
          </w:tcPr>
          <w:p w14:paraId="1EBCB451" w14:textId="77777777" w:rsidR="00855036" w:rsidRPr="00855036" w:rsidRDefault="00855036" w:rsidP="00855036">
            <w:pPr>
              <w:spacing w:after="240"/>
              <w:rPr>
                <w:rFonts w:ascii="Calibri" w:eastAsia="Times New Roman" w:hAnsi="Calibri" w:cs="Calibri"/>
                <w:color w:val="000000"/>
                <w:kern w:val="0"/>
                <w14:ligatures w14:val="none"/>
              </w:rPr>
            </w:pPr>
          </w:p>
        </w:tc>
        <w:tc>
          <w:tcPr>
            <w:tcW w:w="2428" w:type="pct"/>
            <w:gridSpan w:val="3"/>
            <w:vMerge w:val="restart"/>
            <w:tcBorders>
              <w:top w:val="single" w:sz="8" w:space="0" w:color="auto"/>
              <w:left w:val="nil"/>
              <w:bottom w:val="single" w:sz="8" w:space="0" w:color="000000"/>
              <w:right w:val="nil"/>
            </w:tcBorders>
            <w:shd w:val="clear" w:color="000000" w:fill="FFFFFF"/>
            <w:noWrap/>
            <w:vAlign w:val="center"/>
            <w:hideMark/>
          </w:tcPr>
          <w:p w14:paraId="485E5833" w14:textId="77777777" w:rsidR="00855036" w:rsidRPr="00855036" w:rsidRDefault="00855036" w:rsidP="00855036">
            <w:pPr>
              <w:rPr>
                <w:rFonts w:ascii="Calibri" w:eastAsia="Times New Roman" w:hAnsi="Calibri" w:cs="Calibri"/>
                <w:b/>
                <w:bCs/>
                <w:color w:val="000000"/>
                <w:kern w:val="0"/>
                <w:sz w:val="20"/>
                <w:szCs w:val="20"/>
                <w14:ligatures w14:val="none"/>
              </w:rPr>
            </w:pPr>
            <w:r w:rsidRPr="00855036">
              <w:rPr>
                <w:rFonts w:ascii="Calibri" w:eastAsia="Times New Roman" w:hAnsi="Calibri" w:cs="Calibri"/>
                <w:b/>
                <w:bCs/>
                <w:color w:val="000000"/>
                <w:kern w:val="0"/>
                <w:sz w:val="20"/>
                <w:szCs w:val="20"/>
                <w14:ligatures w14:val="none"/>
              </w:rPr>
              <w:t>Energy Price (12-month moving average; fuels monthly)</w:t>
            </w:r>
          </w:p>
        </w:tc>
        <w:tc>
          <w:tcPr>
            <w:tcW w:w="1417" w:type="pct"/>
            <w:gridSpan w:val="2"/>
            <w:tcBorders>
              <w:top w:val="single" w:sz="8" w:space="0" w:color="auto"/>
              <w:left w:val="nil"/>
              <w:bottom w:val="single" w:sz="8" w:space="0" w:color="auto"/>
              <w:right w:val="nil"/>
            </w:tcBorders>
            <w:shd w:val="clear" w:color="000000" w:fill="FFFFFF"/>
            <w:noWrap/>
            <w:vAlign w:val="center"/>
            <w:hideMark/>
          </w:tcPr>
          <w:p w14:paraId="666A6F05" w14:textId="77777777" w:rsidR="00855036" w:rsidRPr="00855036" w:rsidRDefault="00855036" w:rsidP="00855036">
            <w:pPr>
              <w:jc w:val="center"/>
              <w:rPr>
                <w:rFonts w:ascii="Calibri" w:eastAsia="Times New Roman" w:hAnsi="Calibri" w:cs="Calibri"/>
                <w:b/>
                <w:bCs/>
                <w:color w:val="000000"/>
                <w:kern w:val="0"/>
                <w:sz w:val="20"/>
                <w:szCs w:val="20"/>
                <w14:ligatures w14:val="none"/>
              </w:rPr>
            </w:pPr>
            <w:r w:rsidRPr="00855036">
              <w:rPr>
                <w:rFonts w:ascii="Calibri" w:eastAsia="Times New Roman" w:hAnsi="Calibri" w:cs="Calibri"/>
                <w:b/>
                <w:bCs/>
                <w:color w:val="000000"/>
                <w:kern w:val="0"/>
                <w:sz w:val="20"/>
                <w:szCs w:val="20"/>
                <w14:ligatures w14:val="none"/>
              </w:rPr>
              <w:t>Rank Among Contiguous States</w:t>
            </w:r>
          </w:p>
        </w:tc>
      </w:tr>
      <w:tr w:rsidR="00855036" w:rsidRPr="00855036" w14:paraId="75496849" w14:textId="77777777" w:rsidTr="00331E72">
        <w:trPr>
          <w:trHeight w:val="465"/>
        </w:trPr>
        <w:tc>
          <w:tcPr>
            <w:tcW w:w="1155" w:type="pct"/>
            <w:gridSpan w:val="3"/>
            <w:tcBorders>
              <w:top w:val="nil"/>
              <w:left w:val="nil"/>
              <w:bottom w:val="nil"/>
              <w:right w:val="nil"/>
            </w:tcBorders>
            <w:vAlign w:val="bottom"/>
            <w:hideMark/>
          </w:tcPr>
          <w:p w14:paraId="47FC5965" w14:textId="77777777" w:rsidR="00855036" w:rsidRPr="00855036" w:rsidRDefault="00855036" w:rsidP="00855036">
            <w:pPr>
              <w:jc w:val="center"/>
              <w:rPr>
                <w:rFonts w:ascii="Calibri" w:eastAsia="Times New Roman" w:hAnsi="Calibri" w:cs="Calibri"/>
                <w:b/>
                <w:bCs/>
                <w:color w:val="000000"/>
                <w:kern w:val="0"/>
                <w:sz w:val="20"/>
                <w:szCs w:val="20"/>
                <w14:ligatures w14:val="none"/>
              </w:rPr>
            </w:pPr>
          </w:p>
        </w:tc>
        <w:tc>
          <w:tcPr>
            <w:tcW w:w="2428" w:type="pct"/>
            <w:gridSpan w:val="3"/>
            <w:vMerge/>
            <w:tcBorders>
              <w:top w:val="single" w:sz="8" w:space="0" w:color="auto"/>
              <w:left w:val="nil"/>
              <w:bottom w:val="single" w:sz="8" w:space="0" w:color="000000"/>
              <w:right w:val="nil"/>
            </w:tcBorders>
            <w:vAlign w:val="center"/>
            <w:hideMark/>
          </w:tcPr>
          <w:p w14:paraId="36FE4791" w14:textId="77777777" w:rsidR="00855036" w:rsidRPr="00855036" w:rsidRDefault="00855036" w:rsidP="00855036">
            <w:pPr>
              <w:rPr>
                <w:rFonts w:ascii="Calibri" w:eastAsia="Times New Roman" w:hAnsi="Calibri" w:cs="Calibri"/>
                <w:b/>
                <w:bCs/>
                <w:color w:val="000000"/>
                <w:kern w:val="0"/>
                <w:sz w:val="20"/>
                <w:szCs w:val="20"/>
                <w14:ligatures w14:val="none"/>
              </w:rPr>
            </w:pPr>
          </w:p>
        </w:tc>
        <w:tc>
          <w:tcPr>
            <w:tcW w:w="724" w:type="pct"/>
            <w:tcBorders>
              <w:top w:val="nil"/>
              <w:left w:val="nil"/>
              <w:bottom w:val="single" w:sz="8" w:space="0" w:color="auto"/>
              <w:right w:val="nil"/>
            </w:tcBorders>
            <w:shd w:val="clear" w:color="000000" w:fill="FFFFFF"/>
            <w:noWrap/>
            <w:vAlign w:val="center"/>
            <w:hideMark/>
          </w:tcPr>
          <w:p w14:paraId="540C5147" w14:textId="77777777" w:rsidR="00855036" w:rsidRPr="00855036" w:rsidRDefault="00855036" w:rsidP="00855036">
            <w:pPr>
              <w:jc w:val="center"/>
              <w:rPr>
                <w:rFonts w:ascii="Calibri" w:eastAsia="Times New Roman" w:hAnsi="Calibri" w:cs="Calibri"/>
                <w:color w:val="000000"/>
                <w:kern w:val="0"/>
                <w:sz w:val="16"/>
                <w:szCs w:val="16"/>
                <w14:ligatures w14:val="none"/>
              </w:rPr>
            </w:pPr>
            <w:r w:rsidRPr="00855036">
              <w:rPr>
                <w:rFonts w:ascii="Calibri" w:eastAsia="Times New Roman" w:hAnsi="Calibri" w:cs="Calibri"/>
                <w:color w:val="000000"/>
                <w:kern w:val="0"/>
                <w:sz w:val="16"/>
                <w:szCs w:val="16"/>
                <w14:ligatures w14:val="none"/>
              </w:rPr>
              <w:t>Current Month</w:t>
            </w:r>
          </w:p>
        </w:tc>
        <w:tc>
          <w:tcPr>
            <w:tcW w:w="693" w:type="pct"/>
            <w:tcBorders>
              <w:top w:val="nil"/>
              <w:left w:val="nil"/>
              <w:bottom w:val="single" w:sz="8" w:space="0" w:color="auto"/>
              <w:right w:val="nil"/>
            </w:tcBorders>
            <w:shd w:val="clear" w:color="000000" w:fill="FFFFFF"/>
            <w:noWrap/>
            <w:vAlign w:val="center"/>
            <w:hideMark/>
          </w:tcPr>
          <w:p w14:paraId="7796F532" w14:textId="77777777" w:rsidR="00855036" w:rsidRPr="00855036" w:rsidRDefault="00855036" w:rsidP="00855036">
            <w:pPr>
              <w:jc w:val="center"/>
              <w:rPr>
                <w:rFonts w:ascii="Calibri" w:eastAsia="Times New Roman" w:hAnsi="Calibri" w:cs="Calibri"/>
                <w:color w:val="000000"/>
                <w:kern w:val="0"/>
                <w:sz w:val="16"/>
                <w:szCs w:val="16"/>
                <w14:ligatures w14:val="none"/>
              </w:rPr>
            </w:pPr>
            <w:r w:rsidRPr="00855036">
              <w:rPr>
                <w:rFonts w:ascii="Calibri" w:eastAsia="Times New Roman" w:hAnsi="Calibri" w:cs="Calibri"/>
                <w:color w:val="000000"/>
                <w:kern w:val="0"/>
                <w:sz w:val="16"/>
                <w:szCs w:val="16"/>
                <w14:ligatures w14:val="none"/>
              </w:rPr>
              <w:t>Previous Month</w:t>
            </w:r>
          </w:p>
        </w:tc>
      </w:tr>
      <w:tr w:rsidR="00855036" w:rsidRPr="00855036" w14:paraId="4AB88F6A" w14:textId="77777777" w:rsidTr="00331E72">
        <w:trPr>
          <w:trHeight w:val="300"/>
        </w:trPr>
        <w:tc>
          <w:tcPr>
            <w:tcW w:w="1155" w:type="pct"/>
            <w:gridSpan w:val="3"/>
            <w:tcBorders>
              <w:top w:val="nil"/>
              <w:left w:val="nil"/>
              <w:bottom w:val="nil"/>
              <w:right w:val="nil"/>
            </w:tcBorders>
            <w:vAlign w:val="bottom"/>
            <w:hideMark/>
          </w:tcPr>
          <w:p w14:paraId="1C32B2BB" w14:textId="77777777" w:rsidR="00855036" w:rsidRPr="00855036" w:rsidRDefault="00855036" w:rsidP="00855036">
            <w:pPr>
              <w:jc w:val="center"/>
              <w:rPr>
                <w:rFonts w:ascii="Calibri" w:eastAsia="Times New Roman" w:hAnsi="Calibri" w:cs="Calibri"/>
                <w:color w:val="000000"/>
                <w:kern w:val="0"/>
                <w:sz w:val="16"/>
                <w:szCs w:val="16"/>
                <w14:ligatures w14:val="none"/>
              </w:rPr>
            </w:pPr>
          </w:p>
        </w:tc>
        <w:tc>
          <w:tcPr>
            <w:tcW w:w="2428" w:type="pct"/>
            <w:gridSpan w:val="3"/>
            <w:tcBorders>
              <w:top w:val="nil"/>
              <w:left w:val="nil"/>
              <w:bottom w:val="nil"/>
              <w:right w:val="nil"/>
            </w:tcBorders>
            <w:shd w:val="clear" w:color="000000" w:fill="FFFFFF"/>
            <w:noWrap/>
            <w:vAlign w:val="center"/>
            <w:hideMark/>
          </w:tcPr>
          <w:p w14:paraId="5FFF6D4C"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Residential Electricity Rate</w:t>
            </w:r>
          </w:p>
        </w:tc>
        <w:tc>
          <w:tcPr>
            <w:tcW w:w="724" w:type="pct"/>
            <w:tcBorders>
              <w:top w:val="nil"/>
              <w:left w:val="nil"/>
              <w:bottom w:val="nil"/>
              <w:right w:val="nil"/>
            </w:tcBorders>
            <w:shd w:val="clear" w:color="000000" w:fill="FFFFFF"/>
            <w:noWrap/>
            <w:vAlign w:val="center"/>
            <w:hideMark/>
          </w:tcPr>
          <w:p w14:paraId="6510F3BE" w14:textId="77777777" w:rsidR="00855036" w:rsidRPr="00855036" w:rsidRDefault="00855036" w:rsidP="00855036">
            <w:pPr>
              <w:jc w:val="center"/>
              <w:rPr>
                <w:rFonts w:ascii="Calibri" w:eastAsia="Times New Roman" w:hAnsi="Calibri" w:cs="Calibri"/>
                <w:color w:val="FF0000"/>
                <w:kern w:val="0"/>
                <w:sz w:val="20"/>
                <w:szCs w:val="20"/>
                <w14:ligatures w14:val="none"/>
              </w:rPr>
            </w:pPr>
            <w:r w:rsidRPr="00855036">
              <w:rPr>
                <w:rFonts w:ascii="Calibri" w:eastAsia="Times New Roman" w:hAnsi="Calibri" w:cs="Calibri"/>
                <w:color w:val="FF0000"/>
                <w:kern w:val="0"/>
                <w:sz w:val="20"/>
                <w:szCs w:val="20"/>
                <w14:ligatures w14:val="none"/>
              </w:rPr>
              <w:t>1</w:t>
            </w:r>
          </w:p>
        </w:tc>
        <w:tc>
          <w:tcPr>
            <w:tcW w:w="693" w:type="pct"/>
            <w:tcBorders>
              <w:top w:val="nil"/>
              <w:left w:val="nil"/>
              <w:bottom w:val="nil"/>
              <w:right w:val="nil"/>
            </w:tcBorders>
            <w:shd w:val="clear" w:color="000000" w:fill="FFFFFF"/>
            <w:noWrap/>
            <w:vAlign w:val="center"/>
            <w:hideMark/>
          </w:tcPr>
          <w:p w14:paraId="5663B8E2"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w:t>
            </w:r>
          </w:p>
        </w:tc>
      </w:tr>
      <w:tr w:rsidR="00855036" w:rsidRPr="00855036" w14:paraId="1FF05EC6" w14:textId="77777777" w:rsidTr="00331E72">
        <w:trPr>
          <w:trHeight w:val="405"/>
        </w:trPr>
        <w:tc>
          <w:tcPr>
            <w:tcW w:w="1155" w:type="pct"/>
            <w:gridSpan w:val="3"/>
            <w:tcBorders>
              <w:top w:val="nil"/>
              <w:left w:val="nil"/>
              <w:bottom w:val="nil"/>
              <w:right w:val="nil"/>
            </w:tcBorders>
            <w:vAlign w:val="bottom"/>
            <w:hideMark/>
          </w:tcPr>
          <w:p w14:paraId="2562C321"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58E498DC"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Average Residential Electricity Bill</w:t>
            </w:r>
          </w:p>
        </w:tc>
        <w:tc>
          <w:tcPr>
            <w:tcW w:w="724" w:type="pct"/>
            <w:tcBorders>
              <w:top w:val="nil"/>
              <w:left w:val="nil"/>
              <w:bottom w:val="nil"/>
              <w:right w:val="nil"/>
            </w:tcBorders>
            <w:shd w:val="clear" w:color="000000" w:fill="FFFFFF"/>
            <w:noWrap/>
            <w:vAlign w:val="center"/>
            <w:hideMark/>
          </w:tcPr>
          <w:p w14:paraId="54C921E3" w14:textId="77777777" w:rsidR="00855036" w:rsidRPr="00855036" w:rsidRDefault="00855036" w:rsidP="00855036">
            <w:pPr>
              <w:jc w:val="center"/>
              <w:rPr>
                <w:rFonts w:ascii="Calibri" w:eastAsia="Times New Roman" w:hAnsi="Calibri" w:cs="Calibri"/>
                <w:color w:val="000000"/>
                <w:kern w:val="0"/>
                <w:sz w:val="20"/>
                <w:szCs w:val="20"/>
                <w14:ligatures w14:val="none"/>
              </w:rPr>
            </w:pPr>
            <w:r w:rsidRPr="00855036">
              <w:rPr>
                <w:rFonts w:ascii="Calibri" w:eastAsia="Times New Roman" w:hAnsi="Calibri" w:cs="Calibri"/>
                <w:color w:val="4C94D8" w:themeColor="text2" w:themeTint="80"/>
                <w:kern w:val="0"/>
                <w:sz w:val="20"/>
                <w:szCs w:val="20"/>
                <w14:ligatures w14:val="none"/>
              </w:rPr>
              <w:t>14</w:t>
            </w:r>
          </w:p>
        </w:tc>
        <w:tc>
          <w:tcPr>
            <w:tcW w:w="693" w:type="pct"/>
            <w:tcBorders>
              <w:top w:val="nil"/>
              <w:left w:val="nil"/>
              <w:bottom w:val="nil"/>
              <w:right w:val="nil"/>
            </w:tcBorders>
            <w:shd w:val="clear" w:color="000000" w:fill="FFFFFF"/>
            <w:noWrap/>
            <w:vAlign w:val="center"/>
            <w:hideMark/>
          </w:tcPr>
          <w:p w14:paraId="4325E5DE"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11</w:t>
            </w:r>
          </w:p>
        </w:tc>
      </w:tr>
      <w:tr w:rsidR="00855036" w:rsidRPr="00855036" w14:paraId="5EA8A8A4" w14:textId="77777777" w:rsidTr="00331E72">
        <w:trPr>
          <w:trHeight w:val="480"/>
        </w:trPr>
        <w:tc>
          <w:tcPr>
            <w:tcW w:w="1155" w:type="pct"/>
            <w:gridSpan w:val="3"/>
            <w:tcBorders>
              <w:top w:val="nil"/>
              <w:left w:val="nil"/>
              <w:bottom w:val="nil"/>
              <w:right w:val="nil"/>
            </w:tcBorders>
            <w:vAlign w:val="bottom"/>
            <w:hideMark/>
          </w:tcPr>
          <w:p w14:paraId="6370A5B3"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7391A0B6"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Commercial Electricity Rate</w:t>
            </w:r>
          </w:p>
        </w:tc>
        <w:tc>
          <w:tcPr>
            <w:tcW w:w="724" w:type="pct"/>
            <w:tcBorders>
              <w:top w:val="nil"/>
              <w:left w:val="nil"/>
              <w:bottom w:val="nil"/>
              <w:right w:val="nil"/>
            </w:tcBorders>
            <w:shd w:val="clear" w:color="000000" w:fill="FFFFFF"/>
            <w:noWrap/>
            <w:vAlign w:val="center"/>
            <w:hideMark/>
          </w:tcPr>
          <w:p w14:paraId="34CF5A68" w14:textId="77777777" w:rsidR="00855036" w:rsidRPr="00855036" w:rsidRDefault="00855036" w:rsidP="00855036">
            <w:pPr>
              <w:jc w:val="center"/>
              <w:rPr>
                <w:rFonts w:ascii="Calibri" w:eastAsia="Times New Roman" w:hAnsi="Calibri" w:cs="Calibri"/>
                <w:color w:val="FF0000"/>
                <w:kern w:val="0"/>
                <w:sz w:val="20"/>
                <w:szCs w:val="20"/>
                <w14:ligatures w14:val="none"/>
              </w:rPr>
            </w:pPr>
            <w:r w:rsidRPr="00855036">
              <w:rPr>
                <w:rFonts w:ascii="Calibri" w:eastAsia="Times New Roman" w:hAnsi="Calibri" w:cs="Calibri"/>
                <w:color w:val="FF0000"/>
                <w:kern w:val="0"/>
                <w:sz w:val="20"/>
                <w:szCs w:val="20"/>
                <w14:ligatures w14:val="none"/>
              </w:rPr>
              <w:t>1</w:t>
            </w:r>
          </w:p>
        </w:tc>
        <w:tc>
          <w:tcPr>
            <w:tcW w:w="693" w:type="pct"/>
            <w:tcBorders>
              <w:top w:val="nil"/>
              <w:left w:val="nil"/>
              <w:bottom w:val="nil"/>
              <w:right w:val="nil"/>
            </w:tcBorders>
            <w:shd w:val="clear" w:color="000000" w:fill="FFFFFF"/>
            <w:noWrap/>
            <w:vAlign w:val="center"/>
            <w:hideMark/>
          </w:tcPr>
          <w:p w14:paraId="11CC1E07"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w:t>
            </w:r>
          </w:p>
        </w:tc>
      </w:tr>
      <w:tr w:rsidR="00855036" w:rsidRPr="00855036" w14:paraId="5BCA7982" w14:textId="77777777" w:rsidTr="00331E72">
        <w:trPr>
          <w:trHeight w:val="300"/>
        </w:trPr>
        <w:tc>
          <w:tcPr>
            <w:tcW w:w="1155" w:type="pct"/>
            <w:gridSpan w:val="3"/>
            <w:tcBorders>
              <w:top w:val="nil"/>
              <w:left w:val="nil"/>
              <w:bottom w:val="nil"/>
              <w:right w:val="nil"/>
            </w:tcBorders>
            <w:vAlign w:val="bottom"/>
            <w:hideMark/>
          </w:tcPr>
          <w:p w14:paraId="075A7AF7"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352C11F9"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Industrial Electricity Rate</w:t>
            </w:r>
          </w:p>
        </w:tc>
        <w:tc>
          <w:tcPr>
            <w:tcW w:w="724" w:type="pct"/>
            <w:tcBorders>
              <w:top w:val="nil"/>
              <w:left w:val="nil"/>
              <w:bottom w:val="nil"/>
              <w:right w:val="nil"/>
            </w:tcBorders>
            <w:shd w:val="clear" w:color="000000" w:fill="FFFFFF"/>
            <w:noWrap/>
            <w:vAlign w:val="center"/>
            <w:hideMark/>
          </w:tcPr>
          <w:p w14:paraId="76BA58CB" w14:textId="77777777" w:rsidR="00855036" w:rsidRPr="00855036" w:rsidRDefault="00855036" w:rsidP="00855036">
            <w:pPr>
              <w:jc w:val="center"/>
              <w:rPr>
                <w:rFonts w:ascii="Calibri" w:eastAsia="Times New Roman" w:hAnsi="Calibri" w:cs="Calibri"/>
                <w:color w:val="FF0000"/>
                <w:kern w:val="0"/>
                <w:sz w:val="20"/>
                <w:szCs w:val="20"/>
                <w14:ligatures w14:val="none"/>
              </w:rPr>
            </w:pPr>
            <w:r w:rsidRPr="00855036">
              <w:rPr>
                <w:rFonts w:ascii="Calibri" w:eastAsia="Times New Roman" w:hAnsi="Calibri" w:cs="Calibri"/>
                <w:color w:val="FF0000"/>
                <w:kern w:val="0"/>
                <w:sz w:val="20"/>
                <w:szCs w:val="20"/>
                <w14:ligatures w14:val="none"/>
              </w:rPr>
              <w:t>1</w:t>
            </w:r>
          </w:p>
        </w:tc>
        <w:tc>
          <w:tcPr>
            <w:tcW w:w="693" w:type="pct"/>
            <w:tcBorders>
              <w:top w:val="nil"/>
              <w:left w:val="nil"/>
              <w:bottom w:val="nil"/>
              <w:right w:val="nil"/>
            </w:tcBorders>
            <w:shd w:val="clear" w:color="000000" w:fill="FFFFFF"/>
            <w:noWrap/>
            <w:vAlign w:val="center"/>
            <w:hideMark/>
          </w:tcPr>
          <w:p w14:paraId="65ED4DB1"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w:t>
            </w:r>
          </w:p>
        </w:tc>
      </w:tr>
      <w:tr w:rsidR="00855036" w:rsidRPr="00855036" w14:paraId="59E90F2D" w14:textId="77777777" w:rsidTr="00331E72">
        <w:trPr>
          <w:trHeight w:val="540"/>
        </w:trPr>
        <w:tc>
          <w:tcPr>
            <w:tcW w:w="1155" w:type="pct"/>
            <w:gridSpan w:val="3"/>
            <w:tcBorders>
              <w:top w:val="nil"/>
              <w:left w:val="nil"/>
              <w:bottom w:val="nil"/>
              <w:right w:val="nil"/>
            </w:tcBorders>
            <w:vAlign w:val="bottom"/>
            <w:hideMark/>
          </w:tcPr>
          <w:p w14:paraId="01A453E3"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1832CEE9"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Residential Natural Gas Rate</w:t>
            </w:r>
          </w:p>
        </w:tc>
        <w:tc>
          <w:tcPr>
            <w:tcW w:w="724" w:type="pct"/>
            <w:tcBorders>
              <w:top w:val="nil"/>
              <w:left w:val="nil"/>
              <w:bottom w:val="nil"/>
              <w:right w:val="nil"/>
            </w:tcBorders>
            <w:shd w:val="clear" w:color="000000" w:fill="FFFFFF"/>
            <w:noWrap/>
            <w:vAlign w:val="center"/>
            <w:hideMark/>
          </w:tcPr>
          <w:p w14:paraId="703870E6" w14:textId="77777777" w:rsidR="00855036" w:rsidRPr="00855036" w:rsidRDefault="00855036" w:rsidP="00855036">
            <w:pPr>
              <w:jc w:val="cente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3</w:t>
            </w:r>
          </w:p>
        </w:tc>
        <w:tc>
          <w:tcPr>
            <w:tcW w:w="693" w:type="pct"/>
            <w:tcBorders>
              <w:top w:val="nil"/>
              <w:left w:val="nil"/>
              <w:bottom w:val="nil"/>
              <w:right w:val="nil"/>
            </w:tcBorders>
            <w:shd w:val="clear" w:color="000000" w:fill="FFFFFF"/>
            <w:noWrap/>
            <w:vAlign w:val="center"/>
            <w:hideMark/>
          </w:tcPr>
          <w:p w14:paraId="40500BFF"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3</w:t>
            </w:r>
          </w:p>
        </w:tc>
      </w:tr>
      <w:tr w:rsidR="00855036" w:rsidRPr="00855036" w14:paraId="1ECFD554" w14:textId="77777777" w:rsidTr="00331E72">
        <w:trPr>
          <w:trHeight w:val="300"/>
        </w:trPr>
        <w:tc>
          <w:tcPr>
            <w:tcW w:w="1155" w:type="pct"/>
            <w:gridSpan w:val="3"/>
            <w:tcBorders>
              <w:top w:val="nil"/>
              <w:left w:val="nil"/>
              <w:bottom w:val="nil"/>
              <w:right w:val="nil"/>
            </w:tcBorders>
            <w:vAlign w:val="bottom"/>
            <w:hideMark/>
          </w:tcPr>
          <w:p w14:paraId="5CF80D82"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332B1E1A"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Commercial Natural Gas Rate</w:t>
            </w:r>
          </w:p>
        </w:tc>
        <w:tc>
          <w:tcPr>
            <w:tcW w:w="724" w:type="pct"/>
            <w:tcBorders>
              <w:top w:val="nil"/>
              <w:left w:val="nil"/>
              <w:bottom w:val="nil"/>
              <w:right w:val="nil"/>
            </w:tcBorders>
            <w:shd w:val="clear" w:color="000000" w:fill="FFFFFF"/>
            <w:noWrap/>
            <w:vAlign w:val="center"/>
            <w:hideMark/>
          </w:tcPr>
          <w:p w14:paraId="182E982D"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3</w:t>
            </w:r>
          </w:p>
        </w:tc>
        <w:tc>
          <w:tcPr>
            <w:tcW w:w="693" w:type="pct"/>
            <w:tcBorders>
              <w:top w:val="nil"/>
              <w:left w:val="nil"/>
              <w:bottom w:val="nil"/>
              <w:right w:val="nil"/>
            </w:tcBorders>
            <w:shd w:val="clear" w:color="000000" w:fill="FFFFFF"/>
            <w:noWrap/>
            <w:vAlign w:val="center"/>
            <w:hideMark/>
          </w:tcPr>
          <w:p w14:paraId="4E90A9D3"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3</w:t>
            </w:r>
          </w:p>
        </w:tc>
      </w:tr>
      <w:tr w:rsidR="00855036" w:rsidRPr="00855036" w14:paraId="408E0DDA" w14:textId="77777777" w:rsidTr="00331E72">
        <w:trPr>
          <w:trHeight w:val="525"/>
        </w:trPr>
        <w:tc>
          <w:tcPr>
            <w:tcW w:w="1155" w:type="pct"/>
            <w:gridSpan w:val="3"/>
            <w:tcBorders>
              <w:top w:val="nil"/>
              <w:left w:val="nil"/>
              <w:bottom w:val="nil"/>
              <w:right w:val="nil"/>
            </w:tcBorders>
            <w:vAlign w:val="bottom"/>
            <w:hideMark/>
          </w:tcPr>
          <w:p w14:paraId="2637AA8B"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409664B9"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Industrial Natural Gas Rate</w:t>
            </w:r>
          </w:p>
        </w:tc>
        <w:tc>
          <w:tcPr>
            <w:tcW w:w="724" w:type="pct"/>
            <w:tcBorders>
              <w:top w:val="nil"/>
              <w:left w:val="nil"/>
              <w:bottom w:val="nil"/>
              <w:right w:val="nil"/>
            </w:tcBorders>
            <w:shd w:val="clear" w:color="000000" w:fill="FFFFFF"/>
            <w:noWrap/>
            <w:vAlign w:val="center"/>
            <w:hideMark/>
          </w:tcPr>
          <w:p w14:paraId="64A2D8F5"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5</w:t>
            </w:r>
          </w:p>
        </w:tc>
        <w:tc>
          <w:tcPr>
            <w:tcW w:w="693" w:type="pct"/>
            <w:tcBorders>
              <w:top w:val="nil"/>
              <w:left w:val="nil"/>
              <w:bottom w:val="nil"/>
              <w:right w:val="nil"/>
            </w:tcBorders>
            <w:shd w:val="clear" w:color="000000" w:fill="FFFFFF"/>
            <w:noWrap/>
            <w:vAlign w:val="center"/>
            <w:hideMark/>
          </w:tcPr>
          <w:p w14:paraId="566A2158"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5</w:t>
            </w:r>
          </w:p>
        </w:tc>
      </w:tr>
      <w:tr w:rsidR="00855036" w:rsidRPr="00855036" w14:paraId="331C9797" w14:textId="77777777" w:rsidTr="00331E72">
        <w:trPr>
          <w:trHeight w:val="300"/>
        </w:trPr>
        <w:tc>
          <w:tcPr>
            <w:tcW w:w="1155" w:type="pct"/>
            <w:gridSpan w:val="3"/>
            <w:tcBorders>
              <w:top w:val="nil"/>
              <w:left w:val="nil"/>
              <w:bottom w:val="nil"/>
              <w:right w:val="nil"/>
            </w:tcBorders>
            <w:vAlign w:val="bottom"/>
            <w:hideMark/>
          </w:tcPr>
          <w:p w14:paraId="24B638B7"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nil"/>
              <w:right w:val="nil"/>
            </w:tcBorders>
            <w:shd w:val="clear" w:color="000000" w:fill="FFFFFF"/>
            <w:noWrap/>
            <w:vAlign w:val="center"/>
            <w:hideMark/>
          </w:tcPr>
          <w:p w14:paraId="7DAA9A1F"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Gasoline</w:t>
            </w:r>
          </w:p>
        </w:tc>
        <w:tc>
          <w:tcPr>
            <w:tcW w:w="724" w:type="pct"/>
            <w:tcBorders>
              <w:top w:val="nil"/>
              <w:left w:val="nil"/>
              <w:bottom w:val="nil"/>
              <w:right w:val="nil"/>
            </w:tcBorders>
            <w:shd w:val="clear" w:color="000000" w:fill="FFFFFF"/>
            <w:noWrap/>
            <w:vAlign w:val="center"/>
            <w:hideMark/>
          </w:tcPr>
          <w:p w14:paraId="14E788B5" w14:textId="77777777" w:rsidR="00855036" w:rsidRPr="00855036" w:rsidRDefault="00855036" w:rsidP="00855036">
            <w:pPr>
              <w:jc w:val="center"/>
              <w:rPr>
                <w:rFonts w:ascii="Calibri" w:eastAsia="Times New Roman" w:hAnsi="Calibri" w:cs="Calibri"/>
                <w:color w:val="FF0000"/>
                <w:kern w:val="0"/>
                <w:sz w:val="20"/>
                <w:szCs w:val="20"/>
                <w14:ligatures w14:val="none"/>
              </w:rPr>
            </w:pPr>
            <w:r w:rsidRPr="00855036">
              <w:rPr>
                <w:rFonts w:ascii="Calibri" w:eastAsia="Times New Roman" w:hAnsi="Calibri" w:cs="Calibri"/>
                <w:color w:val="FF0000"/>
                <w:kern w:val="0"/>
                <w:sz w:val="20"/>
                <w:szCs w:val="20"/>
                <w14:ligatures w14:val="none"/>
              </w:rPr>
              <w:t>1</w:t>
            </w:r>
          </w:p>
        </w:tc>
        <w:tc>
          <w:tcPr>
            <w:tcW w:w="693" w:type="pct"/>
            <w:tcBorders>
              <w:top w:val="nil"/>
              <w:left w:val="nil"/>
              <w:bottom w:val="nil"/>
              <w:right w:val="nil"/>
            </w:tcBorders>
            <w:shd w:val="clear" w:color="000000" w:fill="FFFFFF"/>
            <w:noWrap/>
            <w:vAlign w:val="center"/>
            <w:hideMark/>
          </w:tcPr>
          <w:p w14:paraId="11743B88"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w:t>
            </w:r>
          </w:p>
        </w:tc>
      </w:tr>
      <w:tr w:rsidR="00855036" w:rsidRPr="00855036" w14:paraId="0646C1A1" w14:textId="77777777" w:rsidTr="00331E72">
        <w:trPr>
          <w:trHeight w:val="465"/>
        </w:trPr>
        <w:tc>
          <w:tcPr>
            <w:tcW w:w="1155" w:type="pct"/>
            <w:gridSpan w:val="3"/>
            <w:tcBorders>
              <w:top w:val="nil"/>
              <w:left w:val="nil"/>
              <w:bottom w:val="nil"/>
              <w:right w:val="nil"/>
            </w:tcBorders>
            <w:vAlign w:val="bottom"/>
            <w:hideMark/>
          </w:tcPr>
          <w:p w14:paraId="6AF044C2" w14:textId="77777777" w:rsidR="00855036" w:rsidRPr="00855036" w:rsidRDefault="00855036" w:rsidP="00855036">
            <w:pPr>
              <w:jc w:val="center"/>
              <w:rPr>
                <w:rFonts w:ascii="Calibri" w:eastAsia="Times New Roman" w:hAnsi="Calibri" w:cs="Calibri"/>
                <w:kern w:val="0"/>
                <w:sz w:val="20"/>
                <w:szCs w:val="20"/>
                <w14:ligatures w14:val="none"/>
              </w:rPr>
            </w:pPr>
          </w:p>
        </w:tc>
        <w:tc>
          <w:tcPr>
            <w:tcW w:w="2428" w:type="pct"/>
            <w:gridSpan w:val="3"/>
            <w:tcBorders>
              <w:top w:val="nil"/>
              <w:left w:val="nil"/>
              <w:bottom w:val="single" w:sz="8" w:space="0" w:color="auto"/>
              <w:right w:val="nil"/>
            </w:tcBorders>
            <w:shd w:val="clear" w:color="000000" w:fill="FFFFFF"/>
            <w:noWrap/>
            <w:vAlign w:val="center"/>
            <w:hideMark/>
          </w:tcPr>
          <w:p w14:paraId="1E8ABC91" w14:textId="77777777" w:rsidR="00855036" w:rsidRPr="00855036" w:rsidRDefault="00855036" w:rsidP="00855036">
            <w:pPr>
              <w:rPr>
                <w:rFonts w:ascii="Calibri" w:eastAsia="Times New Roman" w:hAnsi="Calibri" w:cs="Calibri"/>
                <w:color w:val="000000"/>
                <w:kern w:val="0"/>
                <w:sz w:val="20"/>
                <w:szCs w:val="20"/>
                <w14:ligatures w14:val="none"/>
              </w:rPr>
            </w:pPr>
            <w:r w:rsidRPr="00855036">
              <w:rPr>
                <w:rFonts w:ascii="Calibri" w:eastAsia="Times New Roman" w:hAnsi="Calibri" w:cs="Calibri"/>
                <w:color w:val="000000"/>
                <w:kern w:val="0"/>
                <w:sz w:val="20"/>
                <w:szCs w:val="20"/>
                <w14:ligatures w14:val="none"/>
              </w:rPr>
              <w:t>Diesel</w:t>
            </w:r>
          </w:p>
        </w:tc>
        <w:tc>
          <w:tcPr>
            <w:tcW w:w="724" w:type="pct"/>
            <w:tcBorders>
              <w:top w:val="nil"/>
              <w:left w:val="nil"/>
              <w:bottom w:val="single" w:sz="8" w:space="0" w:color="auto"/>
              <w:right w:val="nil"/>
            </w:tcBorders>
            <w:shd w:val="clear" w:color="000000" w:fill="FFFFFF"/>
            <w:noWrap/>
            <w:vAlign w:val="center"/>
            <w:hideMark/>
          </w:tcPr>
          <w:p w14:paraId="4B70C457" w14:textId="77777777" w:rsidR="00855036" w:rsidRPr="00855036" w:rsidRDefault="00855036" w:rsidP="00855036">
            <w:pPr>
              <w:jc w:val="center"/>
              <w:rPr>
                <w:rFonts w:ascii="Calibri" w:eastAsia="Times New Roman" w:hAnsi="Calibri" w:cs="Calibri"/>
                <w:color w:val="FF0000"/>
                <w:kern w:val="0"/>
                <w:sz w:val="20"/>
                <w:szCs w:val="20"/>
                <w14:ligatures w14:val="none"/>
              </w:rPr>
            </w:pPr>
            <w:r w:rsidRPr="00855036">
              <w:rPr>
                <w:rFonts w:ascii="Calibri" w:eastAsia="Times New Roman" w:hAnsi="Calibri" w:cs="Calibri"/>
                <w:color w:val="FF0000"/>
                <w:kern w:val="0"/>
                <w:sz w:val="20"/>
                <w:szCs w:val="20"/>
                <w14:ligatures w14:val="none"/>
              </w:rPr>
              <w:t>1</w:t>
            </w:r>
          </w:p>
        </w:tc>
        <w:tc>
          <w:tcPr>
            <w:tcW w:w="693" w:type="pct"/>
            <w:tcBorders>
              <w:top w:val="nil"/>
              <w:left w:val="nil"/>
              <w:bottom w:val="single" w:sz="8" w:space="0" w:color="auto"/>
              <w:right w:val="nil"/>
            </w:tcBorders>
            <w:shd w:val="clear" w:color="000000" w:fill="FFFFFF"/>
            <w:noWrap/>
            <w:vAlign w:val="center"/>
            <w:hideMark/>
          </w:tcPr>
          <w:p w14:paraId="40292A40" w14:textId="77777777" w:rsidR="00855036" w:rsidRPr="00855036" w:rsidRDefault="00855036" w:rsidP="00855036">
            <w:pPr>
              <w:jc w:val="center"/>
              <w:rPr>
                <w:rFonts w:ascii="Calibri" w:eastAsia="Times New Roman" w:hAnsi="Calibri" w:cs="Calibri"/>
                <w:kern w:val="0"/>
                <w:sz w:val="20"/>
                <w:szCs w:val="20"/>
                <w14:ligatures w14:val="none"/>
              </w:rPr>
            </w:pPr>
            <w:r w:rsidRPr="00855036">
              <w:rPr>
                <w:rFonts w:ascii="Calibri" w:eastAsia="Times New Roman" w:hAnsi="Calibri" w:cs="Calibri"/>
                <w:kern w:val="0"/>
                <w:sz w:val="20"/>
                <w:szCs w:val="20"/>
                <w14:ligatures w14:val="none"/>
              </w:rPr>
              <w:t>1</w:t>
            </w:r>
          </w:p>
        </w:tc>
      </w:tr>
      <w:tr w:rsidR="00855036" w:rsidRPr="00855036" w14:paraId="0AA4ED2E" w14:textId="77777777" w:rsidTr="00E01FE2">
        <w:trPr>
          <w:trHeight w:val="465"/>
        </w:trPr>
        <w:tc>
          <w:tcPr>
            <w:tcW w:w="5000" w:type="pct"/>
            <w:gridSpan w:val="8"/>
            <w:tcBorders>
              <w:top w:val="nil"/>
              <w:left w:val="nil"/>
              <w:bottom w:val="nil"/>
              <w:right w:val="nil"/>
            </w:tcBorders>
            <w:vAlign w:val="bottom"/>
            <w:hideMark/>
          </w:tcPr>
          <w:p w14:paraId="3830D87F" w14:textId="77777777" w:rsidR="00331E72" w:rsidRDefault="00331E72" w:rsidP="00855036">
            <w:pPr>
              <w:rPr>
                <w:rFonts w:ascii="Calibri" w:eastAsia="Times New Roman" w:hAnsi="Calibri" w:cs="Calibri"/>
                <w:b/>
                <w:bCs/>
                <w:color w:val="000000"/>
                <w:kern w:val="0"/>
                <w14:ligatures w14:val="none"/>
              </w:rPr>
            </w:pPr>
          </w:p>
          <w:p w14:paraId="11FC0DDD" w14:textId="66767DF1" w:rsidR="003341BC" w:rsidRDefault="003341BC"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California’s average electricity and fuel prices remained the highest among the contiguous states, while </w:t>
            </w:r>
            <w:r w:rsidR="002B5884">
              <w:rPr>
                <w:rFonts w:ascii="Calibri" w:eastAsia="Times New Roman" w:hAnsi="Calibri" w:cs="Calibri"/>
                <w:color w:val="000000"/>
                <w:kern w:val="0"/>
                <w14:ligatures w14:val="none"/>
              </w:rPr>
              <w:t>natural gas prices again were near the highest but showed no change in their overall rank.</w:t>
            </w:r>
          </w:p>
          <w:p w14:paraId="4EC2E7C4" w14:textId="393D8C92" w:rsidR="002B5884" w:rsidRDefault="002B5884" w:rsidP="00855036">
            <w:pPr>
              <w:rPr>
                <w:rFonts w:ascii="Calibri" w:eastAsia="Times New Roman" w:hAnsi="Calibri" w:cs="Calibri"/>
                <w:color w:val="000000"/>
                <w:kern w:val="0"/>
                <w14:ligatures w14:val="none"/>
              </w:rPr>
            </w:pPr>
          </w:p>
          <w:p w14:paraId="75D4935D" w14:textId="7A6DF3B5" w:rsidR="002B5884" w:rsidRDefault="002B5884"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2024 electricity data has been updated with the final results just published by EIA.  In general, California costs are marginally higher than in the preliminary data previously contained in these reports, while in aggregate the numbers for the other states are marginally lower.  As a result, California still posted the 7</w:t>
            </w:r>
            <w:r w:rsidRPr="002B5884">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highest average annual residential bill in 2024, up from the 9</w:t>
            </w:r>
            <w:r w:rsidRPr="002B5884">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lowest in 2010.  </w:t>
            </w:r>
          </w:p>
          <w:p w14:paraId="7FE06B44" w14:textId="77777777" w:rsidR="002B5884" w:rsidRDefault="002B5884" w:rsidP="00855036">
            <w:pPr>
              <w:rPr>
                <w:rFonts w:ascii="Calibri" w:eastAsia="Times New Roman" w:hAnsi="Calibri" w:cs="Calibri"/>
                <w:color w:val="000000"/>
                <w:kern w:val="0"/>
                <w14:ligatures w14:val="none"/>
              </w:rPr>
            </w:pPr>
          </w:p>
          <w:p w14:paraId="5119CFFE" w14:textId="4B59DEB9" w:rsidR="002B5884" w:rsidRPr="003341BC" w:rsidRDefault="002B5884"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 2025</w:t>
            </w:r>
            <w:r w:rsidR="00640ECD">
              <w:rPr>
                <w:rFonts w:ascii="Calibri" w:eastAsia="Times New Roman" w:hAnsi="Calibri" w:cs="Calibri"/>
                <w:color w:val="000000"/>
                <w:kern w:val="0"/>
                <w14:ligatures w14:val="none"/>
              </w:rPr>
              <w:t>, California’s rank measured on a moving 12-month basis has been dipping as the result of a somewhat cooler summer and as prices are now rising in other states due to their embrace of comparable renewables policies along with the rapid rise in demand coming from data centers.  In the latest results, California is now the 14</w:t>
            </w:r>
            <w:r w:rsidR="00640ECD" w:rsidRPr="00640ECD">
              <w:rPr>
                <w:rFonts w:ascii="Calibri" w:eastAsia="Times New Roman" w:hAnsi="Calibri" w:cs="Calibri"/>
                <w:color w:val="000000"/>
                <w:kern w:val="0"/>
                <w:vertAlign w:val="superscript"/>
                <w14:ligatures w14:val="none"/>
              </w:rPr>
              <w:t>th</w:t>
            </w:r>
            <w:r w:rsidR="00640ECD">
              <w:rPr>
                <w:rFonts w:ascii="Calibri" w:eastAsia="Times New Roman" w:hAnsi="Calibri" w:cs="Calibri"/>
                <w:color w:val="000000"/>
                <w:kern w:val="0"/>
                <w14:ligatures w14:val="none"/>
              </w:rPr>
              <w:t xml:space="preserve"> highest.   The differences between the states at this level, however, are </w:t>
            </w:r>
            <w:r w:rsidR="00AE7C85">
              <w:rPr>
                <w:rFonts w:ascii="Calibri" w:eastAsia="Times New Roman" w:hAnsi="Calibri" w:cs="Calibri"/>
                <w:color w:val="000000"/>
                <w:kern w:val="0"/>
                <w14:ligatures w14:val="none"/>
              </w:rPr>
              <w:t>small.  In the table below, the shaded area denotes states with annual bills plus/minus $5 a month compared to California.  California’s relative rank consequently likely will remain fluid as more data comes in for the year.</w:t>
            </w:r>
          </w:p>
          <w:p w14:paraId="31A731BE" w14:textId="77777777" w:rsidR="003341BC" w:rsidRDefault="003341BC" w:rsidP="00855036">
            <w:pPr>
              <w:rPr>
                <w:rFonts w:ascii="Calibri" w:eastAsia="Times New Roman" w:hAnsi="Calibri" w:cs="Calibri"/>
                <w:b/>
                <w:bCs/>
                <w:color w:val="000000"/>
                <w:kern w:val="0"/>
                <w14:ligatures w14:val="none"/>
              </w:rPr>
            </w:pPr>
          </w:p>
          <w:tbl>
            <w:tblPr>
              <w:tblW w:w="5288" w:type="dxa"/>
              <w:tblLook w:val="04A0" w:firstRow="1" w:lastRow="0" w:firstColumn="1" w:lastColumn="0" w:noHBand="0" w:noVBand="1"/>
            </w:tblPr>
            <w:tblGrid>
              <w:gridCol w:w="869"/>
              <w:gridCol w:w="2201"/>
              <w:gridCol w:w="2218"/>
            </w:tblGrid>
            <w:tr w:rsidR="00AE7C85" w:rsidRPr="00AE7C85" w14:paraId="57571C75" w14:textId="77777777" w:rsidTr="00AE7C85">
              <w:trPr>
                <w:trHeight w:val="300"/>
              </w:trPr>
              <w:tc>
                <w:tcPr>
                  <w:tcW w:w="5288" w:type="dxa"/>
                  <w:gridSpan w:val="3"/>
                  <w:tcBorders>
                    <w:top w:val="nil"/>
                    <w:left w:val="nil"/>
                    <w:bottom w:val="nil"/>
                    <w:right w:val="nil"/>
                  </w:tcBorders>
                  <w:noWrap/>
                  <w:vAlign w:val="center"/>
                  <w:hideMark/>
                </w:tcPr>
                <w:p w14:paraId="48113626" w14:textId="77777777" w:rsidR="00AE7C85" w:rsidRPr="00AE7C85" w:rsidRDefault="00AE7C85" w:rsidP="00AE7C85">
                  <w:pPr>
                    <w:rPr>
                      <w:rFonts w:ascii="Calibri" w:eastAsia="Times New Roman" w:hAnsi="Calibri" w:cs="Calibri"/>
                      <w:b/>
                      <w:bCs/>
                      <w:color w:val="000000"/>
                      <w:kern w:val="0"/>
                      <w14:ligatures w14:val="none"/>
                    </w:rPr>
                  </w:pPr>
                  <w:r w:rsidRPr="00AE7C85">
                    <w:rPr>
                      <w:rFonts w:ascii="Calibri" w:eastAsia="Times New Roman" w:hAnsi="Calibri" w:cs="Calibri"/>
                      <w:b/>
                      <w:bCs/>
                      <w:color w:val="000000"/>
                      <w:kern w:val="0"/>
                      <w14:ligatures w14:val="none"/>
                    </w:rPr>
                    <w:t>Average Annual Residential Electricity Bill, August 2025</w:t>
                  </w:r>
                </w:p>
              </w:tc>
            </w:tr>
            <w:tr w:rsidR="00AE7C85" w:rsidRPr="00AE7C85" w14:paraId="3DB543AB" w14:textId="77777777" w:rsidTr="00AE7C85">
              <w:trPr>
                <w:trHeight w:val="225"/>
              </w:trPr>
              <w:tc>
                <w:tcPr>
                  <w:tcW w:w="5288" w:type="dxa"/>
                  <w:gridSpan w:val="3"/>
                  <w:tcBorders>
                    <w:top w:val="nil"/>
                    <w:left w:val="nil"/>
                    <w:bottom w:val="nil"/>
                    <w:right w:val="nil"/>
                  </w:tcBorders>
                  <w:noWrap/>
                  <w:vAlign w:val="center"/>
                  <w:hideMark/>
                </w:tcPr>
                <w:p w14:paraId="43EB8760" w14:textId="77777777" w:rsidR="00AE7C85" w:rsidRPr="00AE7C85" w:rsidRDefault="00AE7C85" w:rsidP="00AE7C85">
                  <w:pPr>
                    <w:rPr>
                      <w:rFonts w:ascii="Calibri" w:eastAsia="Times New Roman" w:hAnsi="Calibri" w:cs="Calibri"/>
                      <w:i/>
                      <w:iCs/>
                      <w:color w:val="000000"/>
                      <w:kern w:val="0"/>
                      <w:sz w:val="16"/>
                      <w:szCs w:val="16"/>
                      <w14:ligatures w14:val="none"/>
                    </w:rPr>
                  </w:pPr>
                  <w:r w:rsidRPr="00AE7C85">
                    <w:rPr>
                      <w:rFonts w:ascii="Calibri" w:eastAsia="Times New Roman" w:hAnsi="Calibri" w:cs="Calibri"/>
                      <w:i/>
                      <w:iCs/>
                      <w:color w:val="000000"/>
                      <w:kern w:val="0"/>
                      <w:sz w:val="16"/>
                      <w:szCs w:val="16"/>
                      <w14:ligatures w14:val="none"/>
                    </w:rPr>
                    <w:t>Source:  US Energy Information Administration</w:t>
                  </w:r>
                </w:p>
              </w:tc>
            </w:tr>
            <w:tr w:rsidR="00AE7C85" w:rsidRPr="00AE7C85" w14:paraId="05A3EE20" w14:textId="77777777" w:rsidTr="00AE7C85">
              <w:trPr>
                <w:trHeight w:val="144"/>
              </w:trPr>
              <w:tc>
                <w:tcPr>
                  <w:tcW w:w="869" w:type="dxa"/>
                  <w:tcBorders>
                    <w:top w:val="nil"/>
                    <w:left w:val="nil"/>
                    <w:bottom w:val="single" w:sz="8" w:space="0" w:color="auto"/>
                    <w:right w:val="nil"/>
                  </w:tcBorders>
                  <w:noWrap/>
                  <w:vAlign w:val="center"/>
                  <w:hideMark/>
                </w:tcPr>
                <w:p w14:paraId="6DF1D022" w14:textId="77777777" w:rsidR="00AE7C85" w:rsidRPr="00AE7C85" w:rsidRDefault="00AE7C85" w:rsidP="00AE7C85">
                  <w:pPr>
                    <w:rPr>
                      <w:rFonts w:ascii="Calibri" w:eastAsia="Times New Roman" w:hAnsi="Calibri" w:cs="Calibri"/>
                      <w:color w:val="000000"/>
                      <w:kern w:val="0"/>
                      <w14:ligatures w14:val="none"/>
                    </w:rPr>
                  </w:pPr>
                  <w:r w:rsidRPr="00AE7C85">
                    <w:rPr>
                      <w:rFonts w:ascii="Calibri" w:eastAsia="Times New Roman" w:hAnsi="Calibri" w:cs="Calibri"/>
                      <w:color w:val="000000"/>
                      <w:kern w:val="0"/>
                      <w14:ligatures w14:val="none"/>
                    </w:rPr>
                    <w:t> </w:t>
                  </w:r>
                </w:p>
              </w:tc>
              <w:tc>
                <w:tcPr>
                  <w:tcW w:w="2201" w:type="dxa"/>
                  <w:tcBorders>
                    <w:top w:val="nil"/>
                    <w:left w:val="nil"/>
                    <w:bottom w:val="single" w:sz="8" w:space="0" w:color="auto"/>
                    <w:right w:val="nil"/>
                  </w:tcBorders>
                  <w:noWrap/>
                  <w:vAlign w:val="center"/>
                  <w:hideMark/>
                </w:tcPr>
                <w:p w14:paraId="70CAA075" w14:textId="77777777" w:rsidR="00AE7C85" w:rsidRPr="00AE7C85" w:rsidRDefault="00AE7C85" w:rsidP="00AE7C85">
                  <w:pPr>
                    <w:rPr>
                      <w:rFonts w:ascii="Calibri" w:eastAsia="Times New Roman" w:hAnsi="Calibri" w:cs="Calibri"/>
                      <w:color w:val="000000"/>
                      <w:kern w:val="0"/>
                      <w14:ligatures w14:val="none"/>
                    </w:rPr>
                  </w:pPr>
                  <w:r w:rsidRPr="00AE7C85">
                    <w:rPr>
                      <w:rFonts w:ascii="Calibri" w:eastAsia="Times New Roman" w:hAnsi="Calibri" w:cs="Calibri"/>
                      <w:color w:val="000000"/>
                      <w:kern w:val="0"/>
                      <w14:ligatures w14:val="none"/>
                    </w:rPr>
                    <w:t> </w:t>
                  </w:r>
                </w:p>
              </w:tc>
              <w:tc>
                <w:tcPr>
                  <w:tcW w:w="2218" w:type="dxa"/>
                  <w:tcBorders>
                    <w:top w:val="nil"/>
                    <w:left w:val="nil"/>
                    <w:bottom w:val="single" w:sz="8" w:space="0" w:color="auto"/>
                    <w:right w:val="nil"/>
                  </w:tcBorders>
                  <w:noWrap/>
                  <w:vAlign w:val="center"/>
                  <w:hideMark/>
                </w:tcPr>
                <w:p w14:paraId="287AAF4D" w14:textId="77777777" w:rsidR="00AE7C85" w:rsidRPr="00AE7C85" w:rsidRDefault="00AE7C85" w:rsidP="00AE7C85">
                  <w:pPr>
                    <w:rPr>
                      <w:rFonts w:ascii="Calibri" w:eastAsia="Times New Roman" w:hAnsi="Calibri" w:cs="Calibri"/>
                      <w:color w:val="000000"/>
                      <w:kern w:val="0"/>
                      <w14:ligatures w14:val="none"/>
                    </w:rPr>
                  </w:pPr>
                  <w:r w:rsidRPr="00AE7C85">
                    <w:rPr>
                      <w:rFonts w:ascii="Calibri" w:eastAsia="Times New Roman" w:hAnsi="Calibri" w:cs="Calibri"/>
                      <w:color w:val="000000"/>
                      <w:kern w:val="0"/>
                      <w14:ligatures w14:val="none"/>
                    </w:rPr>
                    <w:t> </w:t>
                  </w:r>
                </w:p>
              </w:tc>
            </w:tr>
            <w:tr w:rsidR="00AE7C85" w:rsidRPr="00AE7C85" w14:paraId="749FC793" w14:textId="77777777" w:rsidTr="00AE7C85">
              <w:trPr>
                <w:trHeight w:val="315"/>
              </w:trPr>
              <w:tc>
                <w:tcPr>
                  <w:tcW w:w="869" w:type="dxa"/>
                  <w:tcBorders>
                    <w:top w:val="nil"/>
                    <w:left w:val="nil"/>
                    <w:bottom w:val="single" w:sz="8" w:space="0" w:color="auto"/>
                    <w:right w:val="nil"/>
                  </w:tcBorders>
                  <w:noWrap/>
                  <w:vAlign w:val="center"/>
                  <w:hideMark/>
                </w:tcPr>
                <w:p w14:paraId="7CF2EA3C" w14:textId="77777777" w:rsidR="00AE7C85" w:rsidRPr="00AE7C85" w:rsidRDefault="00AE7C85" w:rsidP="00AE7C85">
                  <w:pPr>
                    <w:rPr>
                      <w:rFonts w:ascii="Calibri" w:eastAsia="Times New Roman" w:hAnsi="Calibri" w:cs="Calibri"/>
                      <w:b/>
                      <w:bCs/>
                      <w:color w:val="000000"/>
                      <w:kern w:val="0"/>
                      <w14:ligatures w14:val="none"/>
                    </w:rPr>
                  </w:pPr>
                  <w:r w:rsidRPr="00AE7C85">
                    <w:rPr>
                      <w:rFonts w:ascii="Calibri" w:eastAsia="Times New Roman" w:hAnsi="Calibri" w:cs="Calibri"/>
                      <w:b/>
                      <w:bCs/>
                      <w:color w:val="000000"/>
                      <w:kern w:val="0"/>
                      <w14:ligatures w14:val="none"/>
                    </w:rPr>
                    <w:t>Rank</w:t>
                  </w:r>
                </w:p>
              </w:tc>
              <w:tc>
                <w:tcPr>
                  <w:tcW w:w="2201" w:type="dxa"/>
                  <w:tcBorders>
                    <w:top w:val="nil"/>
                    <w:left w:val="nil"/>
                    <w:bottom w:val="single" w:sz="8" w:space="0" w:color="auto"/>
                    <w:right w:val="nil"/>
                  </w:tcBorders>
                  <w:noWrap/>
                  <w:vAlign w:val="center"/>
                  <w:hideMark/>
                </w:tcPr>
                <w:p w14:paraId="0E10EADF" w14:textId="77777777" w:rsidR="00AE7C85" w:rsidRPr="00AE7C85" w:rsidRDefault="00AE7C85" w:rsidP="00AE7C85">
                  <w:pPr>
                    <w:rPr>
                      <w:rFonts w:ascii="Calibri" w:eastAsia="Times New Roman" w:hAnsi="Calibri" w:cs="Calibri"/>
                      <w:b/>
                      <w:bCs/>
                      <w:color w:val="000000"/>
                      <w:kern w:val="0"/>
                      <w14:ligatures w14:val="none"/>
                    </w:rPr>
                  </w:pPr>
                  <w:r w:rsidRPr="00AE7C85">
                    <w:rPr>
                      <w:rFonts w:ascii="Calibri" w:eastAsia="Times New Roman" w:hAnsi="Calibri" w:cs="Calibri"/>
                      <w:b/>
                      <w:bCs/>
                      <w:color w:val="000000"/>
                      <w:kern w:val="0"/>
                      <w14:ligatures w14:val="none"/>
                    </w:rPr>
                    <w:t>State</w:t>
                  </w:r>
                </w:p>
              </w:tc>
              <w:tc>
                <w:tcPr>
                  <w:tcW w:w="2218" w:type="dxa"/>
                  <w:tcBorders>
                    <w:top w:val="nil"/>
                    <w:left w:val="nil"/>
                    <w:bottom w:val="single" w:sz="8" w:space="0" w:color="auto"/>
                    <w:right w:val="nil"/>
                  </w:tcBorders>
                  <w:noWrap/>
                  <w:vAlign w:val="center"/>
                  <w:hideMark/>
                </w:tcPr>
                <w:p w14:paraId="3A0F3638" w14:textId="77777777" w:rsidR="00AE7C85" w:rsidRPr="00AE7C85" w:rsidRDefault="00AE7C85" w:rsidP="00AE7C85">
                  <w:pPr>
                    <w:rPr>
                      <w:rFonts w:ascii="Calibri" w:eastAsia="Times New Roman" w:hAnsi="Calibri" w:cs="Calibri"/>
                      <w:b/>
                      <w:bCs/>
                      <w:color w:val="000000"/>
                      <w:kern w:val="0"/>
                      <w14:ligatures w14:val="none"/>
                    </w:rPr>
                  </w:pPr>
                  <w:r w:rsidRPr="00AE7C85">
                    <w:rPr>
                      <w:rFonts w:ascii="Calibri" w:eastAsia="Times New Roman" w:hAnsi="Calibri" w:cs="Calibri"/>
                      <w:b/>
                      <w:bCs/>
                      <w:color w:val="000000"/>
                      <w:kern w:val="0"/>
                      <w14:ligatures w14:val="none"/>
                    </w:rPr>
                    <w:t>Average Bill</w:t>
                  </w:r>
                </w:p>
              </w:tc>
            </w:tr>
            <w:tr w:rsidR="00AE7C85" w:rsidRPr="00AE7C85" w14:paraId="7D4D097B" w14:textId="77777777" w:rsidTr="00AE7C85">
              <w:trPr>
                <w:trHeight w:val="255"/>
              </w:trPr>
              <w:tc>
                <w:tcPr>
                  <w:tcW w:w="869" w:type="dxa"/>
                  <w:tcBorders>
                    <w:top w:val="nil"/>
                    <w:left w:val="nil"/>
                    <w:bottom w:val="nil"/>
                    <w:right w:val="nil"/>
                  </w:tcBorders>
                  <w:noWrap/>
                  <w:vAlign w:val="center"/>
                  <w:hideMark/>
                </w:tcPr>
                <w:p w14:paraId="30B84C50"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w:t>
                  </w:r>
                </w:p>
              </w:tc>
              <w:tc>
                <w:tcPr>
                  <w:tcW w:w="2201" w:type="dxa"/>
                  <w:tcBorders>
                    <w:top w:val="nil"/>
                    <w:left w:val="nil"/>
                    <w:bottom w:val="nil"/>
                    <w:right w:val="nil"/>
                  </w:tcBorders>
                  <w:noWrap/>
                  <w:vAlign w:val="center"/>
                  <w:hideMark/>
                </w:tcPr>
                <w:p w14:paraId="295460EC"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Connecticut</w:t>
                  </w:r>
                </w:p>
              </w:tc>
              <w:tc>
                <w:tcPr>
                  <w:tcW w:w="2218" w:type="dxa"/>
                  <w:tcBorders>
                    <w:top w:val="nil"/>
                    <w:left w:val="nil"/>
                    <w:bottom w:val="nil"/>
                    <w:right w:val="nil"/>
                  </w:tcBorders>
                  <w:noWrap/>
                  <w:vAlign w:val="center"/>
                  <w:hideMark/>
                </w:tcPr>
                <w:p w14:paraId="2516F8A1"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$2,531</w:t>
                  </w:r>
                </w:p>
              </w:tc>
            </w:tr>
            <w:tr w:rsidR="00AE7C85" w:rsidRPr="00AE7C85" w14:paraId="34FCCBBC" w14:textId="77777777" w:rsidTr="00AE7C85">
              <w:trPr>
                <w:trHeight w:val="255"/>
              </w:trPr>
              <w:tc>
                <w:tcPr>
                  <w:tcW w:w="869" w:type="dxa"/>
                  <w:tcBorders>
                    <w:top w:val="nil"/>
                    <w:left w:val="nil"/>
                    <w:bottom w:val="nil"/>
                    <w:right w:val="nil"/>
                  </w:tcBorders>
                  <w:noWrap/>
                  <w:vAlign w:val="center"/>
                  <w:hideMark/>
                </w:tcPr>
                <w:p w14:paraId="0F71C174"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3</w:t>
                  </w:r>
                </w:p>
              </w:tc>
              <w:tc>
                <w:tcPr>
                  <w:tcW w:w="2201" w:type="dxa"/>
                  <w:tcBorders>
                    <w:top w:val="nil"/>
                    <w:left w:val="nil"/>
                    <w:bottom w:val="nil"/>
                    <w:right w:val="nil"/>
                  </w:tcBorders>
                  <w:noWrap/>
                  <w:vAlign w:val="center"/>
                  <w:hideMark/>
                </w:tcPr>
                <w:p w14:paraId="1A1725BB"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Massachusetts</w:t>
                  </w:r>
                </w:p>
              </w:tc>
              <w:tc>
                <w:tcPr>
                  <w:tcW w:w="2218" w:type="dxa"/>
                  <w:tcBorders>
                    <w:top w:val="nil"/>
                    <w:left w:val="nil"/>
                    <w:bottom w:val="nil"/>
                    <w:right w:val="nil"/>
                  </w:tcBorders>
                  <w:noWrap/>
                  <w:vAlign w:val="center"/>
                  <w:hideMark/>
                </w:tcPr>
                <w:p w14:paraId="050F3F51"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$2,163</w:t>
                  </w:r>
                </w:p>
              </w:tc>
            </w:tr>
            <w:tr w:rsidR="00AE7C85" w:rsidRPr="00AE7C85" w14:paraId="135C3F1D" w14:textId="77777777" w:rsidTr="00AE7C85">
              <w:trPr>
                <w:trHeight w:val="255"/>
              </w:trPr>
              <w:tc>
                <w:tcPr>
                  <w:tcW w:w="869" w:type="dxa"/>
                  <w:tcBorders>
                    <w:top w:val="nil"/>
                    <w:left w:val="nil"/>
                    <w:bottom w:val="nil"/>
                    <w:right w:val="nil"/>
                  </w:tcBorders>
                  <w:noWrap/>
                  <w:vAlign w:val="center"/>
                  <w:hideMark/>
                </w:tcPr>
                <w:p w14:paraId="6120C5CF"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4</w:t>
                  </w:r>
                </w:p>
              </w:tc>
              <w:tc>
                <w:tcPr>
                  <w:tcW w:w="2201" w:type="dxa"/>
                  <w:tcBorders>
                    <w:top w:val="nil"/>
                    <w:left w:val="nil"/>
                    <w:bottom w:val="nil"/>
                    <w:right w:val="nil"/>
                  </w:tcBorders>
                  <w:noWrap/>
                  <w:vAlign w:val="center"/>
                  <w:hideMark/>
                </w:tcPr>
                <w:p w14:paraId="41518039"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Alabama</w:t>
                  </w:r>
                </w:p>
              </w:tc>
              <w:tc>
                <w:tcPr>
                  <w:tcW w:w="2218" w:type="dxa"/>
                  <w:tcBorders>
                    <w:top w:val="nil"/>
                    <w:left w:val="nil"/>
                    <w:bottom w:val="nil"/>
                    <w:right w:val="nil"/>
                  </w:tcBorders>
                  <w:noWrap/>
                  <w:vAlign w:val="center"/>
                  <w:hideMark/>
                </w:tcPr>
                <w:p w14:paraId="6EB0E55E"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$2,159</w:t>
                  </w:r>
                </w:p>
              </w:tc>
            </w:tr>
            <w:tr w:rsidR="00AE7C85" w:rsidRPr="00AE7C85" w14:paraId="41CF8ACA" w14:textId="77777777" w:rsidTr="00AE7C85">
              <w:trPr>
                <w:trHeight w:val="255"/>
              </w:trPr>
              <w:tc>
                <w:tcPr>
                  <w:tcW w:w="869" w:type="dxa"/>
                  <w:tcBorders>
                    <w:top w:val="nil"/>
                    <w:left w:val="nil"/>
                    <w:bottom w:val="nil"/>
                    <w:right w:val="nil"/>
                  </w:tcBorders>
                  <w:noWrap/>
                  <w:vAlign w:val="center"/>
                  <w:hideMark/>
                </w:tcPr>
                <w:p w14:paraId="54EDE7AB"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5</w:t>
                  </w:r>
                </w:p>
              </w:tc>
              <w:tc>
                <w:tcPr>
                  <w:tcW w:w="2201" w:type="dxa"/>
                  <w:tcBorders>
                    <w:top w:val="nil"/>
                    <w:left w:val="nil"/>
                    <w:bottom w:val="nil"/>
                    <w:right w:val="nil"/>
                  </w:tcBorders>
                  <w:noWrap/>
                  <w:vAlign w:val="center"/>
                  <w:hideMark/>
                </w:tcPr>
                <w:p w14:paraId="45DD6470"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Maryland</w:t>
                  </w:r>
                </w:p>
              </w:tc>
              <w:tc>
                <w:tcPr>
                  <w:tcW w:w="2218" w:type="dxa"/>
                  <w:tcBorders>
                    <w:top w:val="nil"/>
                    <w:left w:val="nil"/>
                    <w:bottom w:val="nil"/>
                    <w:right w:val="nil"/>
                  </w:tcBorders>
                  <w:noWrap/>
                  <w:vAlign w:val="center"/>
                  <w:hideMark/>
                </w:tcPr>
                <w:p w14:paraId="5962E3F1"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$2,107</w:t>
                  </w:r>
                </w:p>
              </w:tc>
            </w:tr>
            <w:tr w:rsidR="00AE7C85" w:rsidRPr="00AE7C85" w14:paraId="7EB6832F" w14:textId="77777777" w:rsidTr="00AE7C85">
              <w:trPr>
                <w:trHeight w:val="255"/>
              </w:trPr>
              <w:tc>
                <w:tcPr>
                  <w:tcW w:w="869" w:type="dxa"/>
                  <w:tcBorders>
                    <w:top w:val="nil"/>
                    <w:left w:val="nil"/>
                    <w:bottom w:val="nil"/>
                    <w:right w:val="nil"/>
                  </w:tcBorders>
                  <w:noWrap/>
                  <w:vAlign w:val="center"/>
                  <w:hideMark/>
                </w:tcPr>
                <w:p w14:paraId="520C32FC"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6</w:t>
                  </w:r>
                </w:p>
              </w:tc>
              <w:tc>
                <w:tcPr>
                  <w:tcW w:w="2201" w:type="dxa"/>
                  <w:tcBorders>
                    <w:top w:val="nil"/>
                    <w:left w:val="nil"/>
                    <w:bottom w:val="nil"/>
                    <w:right w:val="nil"/>
                  </w:tcBorders>
                  <w:noWrap/>
                  <w:vAlign w:val="center"/>
                  <w:hideMark/>
                </w:tcPr>
                <w:p w14:paraId="390CD1F4"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Texas</w:t>
                  </w:r>
                </w:p>
              </w:tc>
              <w:tc>
                <w:tcPr>
                  <w:tcW w:w="2218" w:type="dxa"/>
                  <w:tcBorders>
                    <w:top w:val="nil"/>
                    <w:left w:val="nil"/>
                    <w:bottom w:val="nil"/>
                    <w:right w:val="nil"/>
                  </w:tcBorders>
                  <w:noWrap/>
                  <w:vAlign w:val="center"/>
                  <w:hideMark/>
                </w:tcPr>
                <w:p w14:paraId="3BDF4067"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$2,046</w:t>
                  </w:r>
                </w:p>
              </w:tc>
            </w:tr>
            <w:tr w:rsidR="00AE7C85" w:rsidRPr="00AE7C85" w14:paraId="53363095" w14:textId="77777777" w:rsidTr="00AE7C85">
              <w:trPr>
                <w:trHeight w:val="255"/>
              </w:trPr>
              <w:tc>
                <w:tcPr>
                  <w:tcW w:w="869" w:type="dxa"/>
                  <w:tcBorders>
                    <w:top w:val="nil"/>
                    <w:left w:val="nil"/>
                    <w:bottom w:val="nil"/>
                    <w:right w:val="nil"/>
                  </w:tcBorders>
                  <w:noWrap/>
                  <w:vAlign w:val="center"/>
                  <w:hideMark/>
                </w:tcPr>
                <w:p w14:paraId="3AD3A520"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7</w:t>
                  </w:r>
                </w:p>
              </w:tc>
              <w:tc>
                <w:tcPr>
                  <w:tcW w:w="2201" w:type="dxa"/>
                  <w:tcBorders>
                    <w:top w:val="nil"/>
                    <w:left w:val="nil"/>
                    <w:bottom w:val="nil"/>
                    <w:right w:val="nil"/>
                  </w:tcBorders>
                  <w:noWrap/>
                  <w:vAlign w:val="center"/>
                  <w:hideMark/>
                </w:tcPr>
                <w:p w14:paraId="64728AA0"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Rhode Island</w:t>
                  </w:r>
                </w:p>
              </w:tc>
              <w:tc>
                <w:tcPr>
                  <w:tcW w:w="2218" w:type="dxa"/>
                  <w:tcBorders>
                    <w:top w:val="nil"/>
                    <w:left w:val="nil"/>
                    <w:bottom w:val="nil"/>
                    <w:right w:val="nil"/>
                  </w:tcBorders>
                  <w:noWrap/>
                  <w:vAlign w:val="center"/>
                  <w:hideMark/>
                </w:tcPr>
                <w:p w14:paraId="193CF957"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$1,980</w:t>
                  </w:r>
                </w:p>
              </w:tc>
            </w:tr>
            <w:tr w:rsidR="00AE7C85" w:rsidRPr="00AE7C85" w14:paraId="1E48D177" w14:textId="77777777" w:rsidTr="00AE7C85">
              <w:trPr>
                <w:trHeight w:val="255"/>
              </w:trPr>
              <w:tc>
                <w:tcPr>
                  <w:tcW w:w="869" w:type="dxa"/>
                  <w:tcBorders>
                    <w:top w:val="nil"/>
                    <w:left w:val="nil"/>
                    <w:bottom w:val="nil"/>
                    <w:right w:val="nil"/>
                  </w:tcBorders>
                  <w:noWrap/>
                  <w:vAlign w:val="center"/>
                  <w:hideMark/>
                </w:tcPr>
                <w:p w14:paraId="60F2A3E3"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8</w:t>
                  </w:r>
                </w:p>
              </w:tc>
              <w:tc>
                <w:tcPr>
                  <w:tcW w:w="2201" w:type="dxa"/>
                  <w:tcBorders>
                    <w:top w:val="nil"/>
                    <w:left w:val="nil"/>
                    <w:bottom w:val="nil"/>
                    <w:right w:val="nil"/>
                  </w:tcBorders>
                  <w:noWrap/>
                  <w:vAlign w:val="center"/>
                  <w:hideMark/>
                </w:tcPr>
                <w:p w14:paraId="57861A8C"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Florida</w:t>
                  </w:r>
                </w:p>
              </w:tc>
              <w:tc>
                <w:tcPr>
                  <w:tcW w:w="2218" w:type="dxa"/>
                  <w:tcBorders>
                    <w:top w:val="nil"/>
                    <w:left w:val="nil"/>
                    <w:bottom w:val="nil"/>
                    <w:right w:val="nil"/>
                  </w:tcBorders>
                  <w:noWrap/>
                  <w:vAlign w:val="center"/>
                  <w:hideMark/>
                </w:tcPr>
                <w:p w14:paraId="4EB559F4"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$1,971</w:t>
                  </w:r>
                </w:p>
              </w:tc>
            </w:tr>
            <w:tr w:rsidR="00AE7C85" w:rsidRPr="00AE7C85" w14:paraId="0A6D07AE" w14:textId="77777777" w:rsidTr="00AE7C85">
              <w:trPr>
                <w:trHeight w:val="255"/>
              </w:trPr>
              <w:tc>
                <w:tcPr>
                  <w:tcW w:w="869" w:type="dxa"/>
                  <w:tcBorders>
                    <w:top w:val="nil"/>
                    <w:left w:val="nil"/>
                    <w:bottom w:val="nil"/>
                    <w:right w:val="nil"/>
                  </w:tcBorders>
                  <w:noWrap/>
                  <w:vAlign w:val="center"/>
                  <w:hideMark/>
                </w:tcPr>
                <w:p w14:paraId="6A988451"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9</w:t>
                  </w:r>
                </w:p>
              </w:tc>
              <w:tc>
                <w:tcPr>
                  <w:tcW w:w="2201" w:type="dxa"/>
                  <w:tcBorders>
                    <w:top w:val="nil"/>
                    <w:left w:val="nil"/>
                    <w:bottom w:val="nil"/>
                    <w:right w:val="nil"/>
                  </w:tcBorders>
                  <w:noWrap/>
                  <w:vAlign w:val="center"/>
                  <w:hideMark/>
                </w:tcPr>
                <w:p w14:paraId="7818F934"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West Virginia</w:t>
                  </w:r>
                </w:p>
              </w:tc>
              <w:tc>
                <w:tcPr>
                  <w:tcW w:w="2218" w:type="dxa"/>
                  <w:tcBorders>
                    <w:top w:val="nil"/>
                    <w:left w:val="nil"/>
                    <w:bottom w:val="nil"/>
                    <w:right w:val="nil"/>
                  </w:tcBorders>
                  <w:noWrap/>
                  <w:vAlign w:val="center"/>
                  <w:hideMark/>
                </w:tcPr>
                <w:p w14:paraId="711D41AA"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$1,958</w:t>
                  </w:r>
                </w:p>
              </w:tc>
            </w:tr>
            <w:tr w:rsidR="00AE7C85" w:rsidRPr="00AE7C85" w14:paraId="2C81B877" w14:textId="77777777" w:rsidTr="00AE7C85">
              <w:trPr>
                <w:trHeight w:val="255"/>
              </w:trPr>
              <w:tc>
                <w:tcPr>
                  <w:tcW w:w="869" w:type="dxa"/>
                  <w:tcBorders>
                    <w:top w:val="nil"/>
                    <w:left w:val="nil"/>
                    <w:bottom w:val="nil"/>
                    <w:right w:val="nil"/>
                  </w:tcBorders>
                  <w:shd w:val="clear" w:color="000000" w:fill="D9D9D9"/>
                  <w:noWrap/>
                  <w:vAlign w:val="center"/>
                  <w:hideMark/>
                </w:tcPr>
                <w:p w14:paraId="13CC4780"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10</w:t>
                  </w:r>
                </w:p>
              </w:tc>
              <w:tc>
                <w:tcPr>
                  <w:tcW w:w="2201" w:type="dxa"/>
                  <w:tcBorders>
                    <w:top w:val="nil"/>
                    <w:left w:val="nil"/>
                    <w:bottom w:val="nil"/>
                    <w:right w:val="nil"/>
                  </w:tcBorders>
                  <w:shd w:val="clear" w:color="000000" w:fill="D9D9D9"/>
                  <w:noWrap/>
                  <w:vAlign w:val="center"/>
                  <w:hideMark/>
                </w:tcPr>
                <w:p w14:paraId="1EDFB033"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Mississippi</w:t>
                  </w:r>
                </w:p>
              </w:tc>
              <w:tc>
                <w:tcPr>
                  <w:tcW w:w="2218" w:type="dxa"/>
                  <w:tcBorders>
                    <w:top w:val="nil"/>
                    <w:left w:val="nil"/>
                    <w:bottom w:val="nil"/>
                    <w:right w:val="nil"/>
                  </w:tcBorders>
                  <w:shd w:val="clear" w:color="000000" w:fill="D9D9D9"/>
                  <w:noWrap/>
                  <w:vAlign w:val="center"/>
                  <w:hideMark/>
                </w:tcPr>
                <w:p w14:paraId="06775EEF"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$1,936</w:t>
                  </w:r>
                </w:p>
              </w:tc>
            </w:tr>
            <w:tr w:rsidR="00AE7C85" w:rsidRPr="00AE7C85" w14:paraId="2E945361" w14:textId="77777777" w:rsidTr="00AE7C85">
              <w:trPr>
                <w:trHeight w:val="255"/>
              </w:trPr>
              <w:tc>
                <w:tcPr>
                  <w:tcW w:w="869" w:type="dxa"/>
                  <w:tcBorders>
                    <w:top w:val="nil"/>
                    <w:left w:val="nil"/>
                    <w:bottom w:val="nil"/>
                    <w:right w:val="nil"/>
                  </w:tcBorders>
                  <w:shd w:val="clear" w:color="000000" w:fill="D9D9D9"/>
                  <w:noWrap/>
                  <w:vAlign w:val="center"/>
                  <w:hideMark/>
                </w:tcPr>
                <w:p w14:paraId="078E6535"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11</w:t>
                  </w:r>
                </w:p>
              </w:tc>
              <w:tc>
                <w:tcPr>
                  <w:tcW w:w="2201" w:type="dxa"/>
                  <w:tcBorders>
                    <w:top w:val="nil"/>
                    <w:left w:val="nil"/>
                    <w:bottom w:val="nil"/>
                    <w:right w:val="nil"/>
                  </w:tcBorders>
                  <w:shd w:val="clear" w:color="000000" w:fill="D9D9D9"/>
                  <w:noWrap/>
                  <w:vAlign w:val="center"/>
                  <w:hideMark/>
                </w:tcPr>
                <w:p w14:paraId="7CCD49AA"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Arizona</w:t>
                  </w:r>
                </w:p>
              </w:tc>
              <w:tc>
                <w:tcPr>
                  <w:tcW w:w="2218" w:type="dxa"/>
                  <w:tcBorders>
                    <w:top w:val="nil"/>
                    <w:left w:val="nil"/>
                    <w:bottom w:val="nil"/>
                    <w:right w:val="nil"/>
                  </w:tcBorders>
                  <w:shd w:val="clear" w:color="000000" w:fill="D9D9D9"/>
                  <w:noWrap/>
                  <w:vAlign w:val="center"/>
                  <w:hideMark/>
                </w:tcPr>
                <w:p w14:paraId="6A8FED6D"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$1,920</w:t>
                  </w:r>
                </w:p>
              </w:tc>
            </w:tr>
            <w:tr w:rsidR="00AE7C85" w:rsidRPr="00AE7C85" w14:paraId="5E435602" w14:textId="77777777" w:rsidTr="00AE7C85">
              <w:trPr>
                <w:trHeight w:val="255"/>
              </w:trPr>
              <w:tc>
                <w:tcPr>
                  <w:tcW w:w="869" w:type="dxa"/>
                  <w:tcBorders>
                    <w:top w:val="nil"/>
                    <w:left w:val="nil"/>
                    <w:bottom w:val="nil"/>
                    <w:right w:val="nil"/>
                  </w:tcBorders>
                  <w:shd w:val="clear" w:color="000000" w:fill="D9D9D9"/>
                  <w:noWrap/>
                  <w:vAlign w:val="center"/>
                  <w:hideMark/>
                </w:tcPr>
                <w:p w14:paraId="0B4F6F7B"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12</w:t>
                  </w:r>
                </w:p>
              </w:tc>
              <w:tc>
                <w:tcPr>
                  <w:tcW w:w="2201" w:type="dxa"/>
                  <w:tcBorders>
                    <w:top w:val="nil"/>
                    <w:left w:val="nil"/>
                    <w:bottom w:val="nil"/>
                    <w:right w:val="nil"/>
                  </w:tcBorders>
                  <w:shd w:val="clear" w:color="000000" w:fill="D9D9D9"/>
                  <w:noWrap/>
                  <w:vAlign w:val="center"/>
                  <w:hideMark/>
                </w:tcPr>
                <w:p w14:paraId="017480DA"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Virginia</w:t>
                  </w:r>
                </w:p>
              </w:tc>
              <w:tc>
                <w:tcPr>
                  <w:tcW w:w="2218" w:type="dxa"/>
                  <w:tcBorders>
                    <w:top w:val="nil"/>
                    <w:left w:val="nil"/>
                    <w:bottom w:val="nil"/>
                    <w:right w:val="nil"/>
                  </w:tcBorders>
                  <w:shd w:val="clear" w:color="000000" w:fill="D9D9D9"/>
                  <w:noWrap/>
                  <w:vAlign w:val="center"/>
                  <w:hideMark/>
                </w:tcPr>
                <w:p w14:paraId="6D7FE364"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$1,894</w:t>
                  </w:r>
                </w:p>
              </w:tc>
            </w:tr>
            <w:tr w:rsidR="00AE7C85" w:rsidRPr="00AE7C85" w14:paraId="798A70C5" w14:textId="77777777" w:rsidTr="00AE7C85">
              <w:trPr>
                <w:trHeight w:val="255"/>
              </w:trPr>
              <w:tc>
                <w:tcPr>
                  <w:tcW w:w="869" w:type="dxa"/>
                  <w:tcBorders>
                    <w:top w:val="nil"/>
                    <w:left w:val="nil"/>
                    <w:bottom w:val="nil"/>
                    <w:right w:val="nil"/>
                  </w:tcBorders>
                  <w:shd w:val="clear" w:color="000000" w:fill="D9D9D9"/>
                  <w:noWrap/>
                  <w:vAlign w:val="center"/>
                  <w:hideMark/>
                </w:tcPr>
                <w:p w14:paraId="584778A5"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lastRenderedPageBreak/>
                    <w:t>13</w:t>
                  </w:r>
                </w:p>
              </w:tc>
              <w:tc>
                <w:tcPr>
                  <w:tcW w:w="2201" w:type="dxa"/>
                  <w:tcBorders>
                    <w:top w:val="nil"/>
                    <w:left w:val="nil"/>
                    <w:bottom w:val="nil"/>
                    <w:right w:val="nil"/>
                  </w:tcBorders>
                  <w:shd w:val="clear" w:color="000000" w:fill="D9D9D9"/>
                  <w:noWrap/>
                  <w:vAlign w:val="center"/>
                  <w:hideMark/>
                </w:tcPr>
                <w:p w14:paraId="48EC3DB0"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Tennessee</w:t>
                  </w:r>
                </w:p>
              </w:tc>
              <w:tc>
                <w:tcPr>
                  <w:tcW w:w="2218" w:type="dxa"/>
                  <w:tcBorders>
                    <w:top w:val="nil"/>
                    <w:left w:val="nil"/>
                    <w:bottom w:val="nil"/>
                    <w:right w:val="nil"/>
                  </w:tcBorders>
                  <w:shd w:val="clear" w:color="000000" w:fill="D9D9D9"/>
                  <w:noWrap/>
                  <w:vAlign w:val="center"/>
                  <w:hideMark/>
                </w:tcPr>
                <w:p w14:paraId="2A076A6C"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$1,891</w:t>
                  </w:r>
                </w:p>
              </w:tc>
            </w:tr>
            <w:tr w:rsidR="00AE7C85" w:rsidRPr="00AE7C85" w14:paraId="24039DBC" w14:textId="77777777" w:rsidTr="00AE7C85">
              <w:trPr>
                <w:trHeight w:val="255"/>
              </w:trPr>
              <w:tc>
                <w:tcPr>
                  <w:tcW w:w="869" w:type="dxa"/>
                  <w:tcBorders>
                    <w:top w:val="nil"/>
                    <w:left w:val="nil"/>
                    <w:bottom w:val="nil"/>
                    <w:right w:val="nil"/>
                  </w:tcBorders>
                  <w:shd w:val="clear" w:color="000000" w:fill="D9D9D9"/>
                  <w:noWrap/>
                  <w:vAlign w:val="center"/>
                  <w:hideMark/>
                </w:tcPr>
                <w:p w14:paraId="4F1536F8"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14</w:t>
                  </w:r>
                </w:p>
              </w:tc>
              <w:tc>
                <w:tcPr>
                  <w:tcW w:w="2201" w:type="dxa"/>
                  <w:tcBorders>
                    <w:top w:val="nil"/>
                    <w:left w:val="nil"/>
                    <w:bottom w:val="nil"/>
                    <w:right w:val="nil"/>
                  </w:tcBorders>
                  <w:shd w:val="clear" w:color="000000" w:fill="D9D9D9"/>
                  <w:noWrap/>
                  <w:vAlign w:val="center"/>
                  <w:hideMark/>
                </w:tcPr>
                <w:p w14:paraId="7BEA963E"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South Carolina</w:t>
                  </w:r>
                </w:p>
              </w:tc>
              <w:tc>
                <w:tcPr>
                  <w:tcW w:w="2218" w:type="dxa"/>
                  <w:tcBorders>
                    <w:top w:val="nil"/>
                    <w:left w:val="nil"/>
                    <w:bottom w:val="nil"/>
                    <w:right w:val="nil"/>
                  </w:tcBorders>
                  <w:shd w:val="clear" w:color="000000" w:fill="D9D9D9"/>
                  <w:noWrap/>
                  <w:vAlign w:val="center"/>
                  <w:hideMark/>
                </w:tcPr>
                <w:p w14:paraId="7192B3AB"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$1,890</w:t>
                  </w:r>
                </w:p>
              </w:tc>
            </w:tr>
            <w:tr w:rsidR="00AE7C85" w:rsidRPr="00AE7C85" w14:paraId="0E62EF6F" w14:textId="77777777" w:rsidTr="00AE7C85">
              <w:trPr>
                <w:trHeight w:val="255"/>
              </w:trPr>
              <w:tc>
                <w:tcPr>
                  <w:tcW w:w="869" w:type="dxa"/>
                  <w:tcBorders>
                    <w:top w:val="nil"/>
                    <w:left w:val="nil"/>
                    <w:bottom w:val="nil"/>
                    <w:right w:val="nil"/>
                  </w:tcBorders>
                  <w:shd w:val="clear" w:color="000000" w:fill="D9D9D9"/>
                  <w:noWrap/>
                  <w:vAlign w:val="center"/>
                  <w:hideMark/>
                </w:tcPr>
                <w:p w14:paraId="39C6FD74"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15</w:t>
                  </w:r>
                </w:p>
              </w:tc>
              <w:tc>
                <w:tcPr>
                  <w:tcW w:w="2201" w:type="dxa"/>
                  <w:tcBorders>
                    <w:top w:val="nil"/>
                    <w:left w:val="nil"/>
                    <w:bottom w:val="nil"/>
                    <w:right w:val="nil"/>
                  </w:tcBorders>
                  <w:shd w:val="clear" w:color="000000" w:fill="D9D9D9"/>
                  <w:noWrap/>
                  <w:vAlign w:val="center"/>
                  <w:hideMark/>
                </w:tcPr>
                <w:p w14:paraId="21F621E9"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California</w:t>
                  </w:r>
                </w:p>
              </w:tc>
              <w:tc>
                <w:tcPr>
                  <w:tcW w:w="2218" w:type="dxa"/>
                  <w:tcBorders>
                    <w:top w:val="nil"/>
                    <w:left w:val="nil"/>
                    <w:bottom w:val="nil"/>
                    <w:right w:val="nil"/>
                  </w:tcBorders>
                  <w:shd w:val="clear" w:color="000000" w:fill="D9D9D9"/>
                  <w:noWrap/>
                  <w:vAlign w:val="center"/>
                  <w:hideMark/>
                </w:tcPr>
                <w:p w14:paraId="7A7FA828"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$1,881</w:t>
                  </w:r>
                </w:p>
              </w:tc>
            </w:tr>
            <w:tr w:rsidR="00AE7C85" w:rsidRPr="00AE7C85" w14:paraId="7EFCCE7F" w14:textId="77777777" w:rsidTr="00AE7C85">
              <w:trPr>
                <w:trHeight w:val="255"/>
              </w:trPr>
              <w:tc>
                <w:tcPr>
                  <w:tcW w:w="869" w:type="dxa"/>
                  <w:tcBorders>
                    <w:top w:val="nil"/>
                    <w:left w:val="nil"/>
                    <w:bottom w:val="nil"/>
                    <w:right w:val="nil"/>
                  </w:tcBorders>
                  <w:shd w:val="clear" w:color="000000" w:fill="D9D9D9"/>
                  <w:noWrap/>
                  <w:vAlign w:val="center"/>
                  <w:hideMark/>
                </w:tcPr>
                <w:p w14:paraId="04883431"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16</w:t>
                  </w:r>
                </w:p>
              </w:tc>
              <w:tc>
                <w:tcPr>
                  <w:tcW w:w="2201" w:type="dxa"/>
                  <w:tcBorders>
                    <w:top w:val="nil"/>
                    <w:left w:val="nil"/>
                    <w:bottom w:val="nil"/>
                    <w:right w:val="nil"/>
                  </w:tcBorders>
                  <w:shd w:val="clear" w:color="000000" w:fill="D9D9D9"/>
                  <w:noWrap/>
                  <w:vAlign w:val="center"/>
                  <w:hideMark/>
                </w:tcPr>
                <w:p w14:paraId="7846FE7C"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Georgia</w:t>
                  </w:r>
                </w:p>
              </w:tc>
              <w:tc>
                <w:tcPr>
                  <w:tcW w:w="2218" w:type="dxa"/>
                  <w:tcBorders>
                    <w:top w:val="nil"/>
                    <w:left w:val="nil"/>
                    <w:bottom w:val="nil"/>
                    <w:right w:val="nil"/>
                  </w:tcBorders>
                  <w:shd w:val="clear" w:color="000000" w:fill="D9D9D9"/>
                  <w:noWrap/>
                  <w:vAlign w:val="center"/>
                  <w:hideMark/>
                </w:tcPr>
                <w:p w14:paraId="569DCE36"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$1,869</w:t>
                  </w:r>
                </w:p>
              </w:tc>
            </w:tr>
            <w:tr w:rsidR="00AE7C85" w:rsidRPr="00AE7C85" w14:paraId="11224CE8" w14:textId="77777777" w:rsidTr="00AE7C85">
              <w:trPr>
                <w:trHeight w:val="255"/>
              </w:trPr>
              <w:tc>
                <w:tcPr>
                  <w:tcW w:w="869" w:type="dxa"/>
                  <w:tcBorders>
                    <w:top w:val="nil"/>
                    <w:left w:val="nil"/>
                    <w:bottom w:val="nil"/>
                    <w:right w:val="nil"/>
                  </w:tcBorders>
                  <w:shd w:val="clear" w:color="000000" w:fill="D9D9D9"/>
                  <w:noWrap/>
                  <w:vAlign w:val="center"/>
                  <w:hideMark/>
                </w:tcPr>
                <w:p w14:paraId="438AD905"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17</w:t>
                  </w:r>
                </w:p>
              </w:tc>
              <w:tc>
                <w:tcPr>
                  <w:tcW w:w="2201" w:type="dxa"/>
                  <w:tcBorders>
                    <w:top w:val="nil"/>
                    <w:left w:val="nil"/>
                    <w:bottom w:val="nil"/>
                    <w:right w:val="nil"/>
                  </w:tcBorders>
                  <w:shd w:val="clear" w:color="000000" w:fill="D9D9D9"/>
                  <w:noWrap/>
                  <w:vAlign w:val="center"/>
                  <w:hideMark/>
                </w:tcPr>
                <w:p w14:paraId="40B46A76"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Delaware</w:t>
                  </w:r>
                </w:p>
              </w:tc>
              <w:tc>
                <w:tcPr>
                  <w:tcW w:w="2218" w:type="dxa"/>
                  <w:tcBorders>
                    <w:top w:val="nil"/>
                    <w:left w:val="nil"/>
                    <w:bottom w:val="nil"/>
                    <w:right w:val="nil"/>
                  </w:tcBorders>
                  <w:shd w:val="clear" w:color="000000" w:fill="D9D9D9"/>
                  <w:noWrap/>
                  <w:vAlign w:val="center"/>
                  <w:hideMark/>
                </w:tcPr>
                <w:p w14:paraId="6464FBF2"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$1,868</w:t>
                  </w:r>
                </w:p>
              </w:tc>
            </w:tr>
            <w:tr w:rsidR="00AE7C85" w:rsidRPr="00AE7C85" w14:paraId="081B2DE1" w14:textId="77777777" w:rsidTr="00AE7C85">
              <w:trPr>
                <w:trHeight w:val="255"/>
              </w:trPr>
              <w:tc>
                <w:tcPr>
                  <w:tcW w:w="869" w:type="dxa"/>
                  <w:tcBorders>
                    <w:top w:val="nil"/>
                    <w:left w:val="nil"/>
                    <w:bottom w:val="nil"/>
                    <w:right w:val="nil"/>
                  </w:tcBorders>
                  <w:shd w:val="clear" w:color="000000" w:fill="D9D9D9"/>
                  <w:noWrap/>
                  <w:vAlign w:val="center"/>
                  <w:hideMark/>
                </w:tcPr>
                <w:p w14:paraId="6BED1986"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w:t>
                  </w:r>
                </w:p>
              </w:tc>
              <w:tc>
                <w:tcPr>
                  <w:tcW w:w="2201" w:type="dxa"/>
                  <w:tcBorders>
                    <w:top w:val="nil"/>
                    <w:left w:val="nil"/>
                    <w:bottom w:val="nil"/>
                    <w:right w:val="nil"/>
                  </w:tcBorders>
                  <w:shd w:val="clear" w:color="000000" w:fill="D9D9D9"/>
                  <w:noWrap/>
                  <w:vAlign w:val="center"/>
                  <w:hideMark/>
                </w:tcPr>
                <w:p w14:paraId="01F92132"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Pennsylvania</w:t>
                  </w:r>
                </w:p>
              </w:tc>
              <w:tc>
                <w:tcPr>
                  <w:tcW w:w="2218" w:type="dxa"/>
                  <w:tcBorders>
                    <w:top w:val="nil"/>
                    <w:left w:val="nil"/>
                    <w:bottom w:val="nil"/>
                    <w:right w:val="nil"/>
                  </w:tcBorders>
                  <w:shd w:val="clear" w:color="000000" w:fill="D9D9D9"/>
                  <w:noWrap/>
                  <w:vAlign w:val="center"/>
                  <w:hideMark/>
                </w:tcPr>
                <w:p w14:paraId="4D7B23DA"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$1,851</w:t>
                  </w:r>
                </w:p>
              </w:tc>
            </w:tr>
            <w:tr w:rsidR="00AE7C85" w:rsidRPr="00AE7C85" w14:paraId="211D1E8F" w14:textId="77777777" w:rsidTr="00AE7C85">
              <w:trPr>
                <w:trHeight w:val="255"/>
              </w:trPr>
              <w:tc>
                <w:tcPr>
                  <w:tcW w:w="869" w:type="dxa"/>
                  <w:tcBorders>
                    <w:top w:val="nil"/>
                    <w:left w:val="nil"/>
                    <w:bottom w:val="nil"/>
                    <w:right w:val="nil"/>
                  </w:tcBorders>
                  <w:shd w:val="clear" w:color="000000" w:fill="D9D9D9"/>
                  <w:noWrap/>
                  <w:vAlign w:val="center"/>
                  <w:hideMark/>
                </w:tcPr>
                <w:p w14:paraId="15BBC664"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19</w:t>
                  </w:r>
                </w:p>
              </w:tc>
              <w:tc>
                <w:tcPr>
                  <w:tcW w:w="2201" w:type="dxa"/>
                  <w:tcBorders>
                    <w:top w:val="nil"/>
                    <w:left w:val="nil"/>
                    <w:bottom w:val="nil"/>
                    <w:right w:val="nil"/>
                  </w:tcBorders>
                  <w:shd w:val="clear" w:color="000000" w:fill="D9D9D9"/>
                  <w:noWrap/>
                  <w:vAlign w:val="center"/>
                  <w:hideMark/>
                </w:tcPr>
                <w:p w14:paraId="5FB69FE6"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Louisiana</w:t>
                  </w:r>
                </w:p>
              </w:tc>
              <w:tc>
                <w:tcPr>
                  <w:tcW w:w="2218" w:type="dxa"/>
                  <w:tcBorders>
                    <w:top w:val="nil"/>
                    <w:left w:val="nil"/>
                    <w:bottom w:val="nil"/>
                    <w:right w:val="nil"/>
                  </w:tcBorders>
                  <w:shd w:val="clear" w:color="000000" w:fill="D9D9D9"/>
                  <w:noWrap/>
                  <w:vAlign w:val="center"/>
                  <w:hideMark/>
                </w:tcPr>
                <w:p w14:paraId="7C2135E2"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$1,824</w:t>
                  </w:r>
                </w:p>
              </w:tc>
            </w:tr>
            <w:tr w:rsidR="00AE7C85" w:rsidRPr="00AE7C85" w14:paraId="027725E5" w14:textId="77777777" w:rsidTr="00AE7C85">
              <w:trPr>
                <w:trHeight w:val="270"/>
              </w:trPr>
              <w:tc>
                <w:tcPr>
                  <w:tcW w:w="869" w:type="dxa"/>
                  <w:tcBorders>
                    <w:top w:val="nil"/>
                    <w:left w:val="nil"/>
                    <w:bottom w:val="single" w:sz="8" w:space="0" w:color="auto"/>
                    <w:right w:val="nil"/>
                  </w:tcBorders>
                  <w:noWrap/>
                  <w:vAlign w:val="center"/>
                  <w:hideMark/>
                </w:tcPr>
                <w:p w14:paraId="752A065F"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20</w:t>
                  </w:r>
                </w:p>
              </w:tc>
              <w:tc>
                <w:tcPr>
                  <w:tcW w:w="2201" w:type="dxa"/>
                  <w:tcBorders>
                    <w:top w:val="nil"/>
                    <w:left w:val="nil"/>
                    <w:bottom w:val="single" w:sz="8" w:space="0" w:color="auto"/>
                    <w:right w:val="nil"/>
                  </w:tcBorders>
                  <w:noWrap/>
                  <w:vAlign w:val="center"/>
                  <w:hideMark/>
                </w:tcPr>
                <w:p w14:paraId="68437414" w14:textId="77777777" w:rsidR="00AE7C85" w:rsidRPr="00AE7C85" w:rsidRDefault="00AE7C85" w:rsidP="00AE7C85">
                  <w:pPr>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New York</w:t>
                  </w:r>
                </w:p>
              </w:tc>
              <w:tc>
                <w:tcPr>
                  <w:tcW w:w="2218" w:type="dxa"/>
                  <w:tcBorders>
                    <w:top w:val="nil"/>
                    <w:left w:val="nil"/>
                    <w:bottom w:val="single" w:sz="8" w:space="0" w:color="auto"/>
                    <w:right w:val="nil"/>
                  </w:tcBorders>
                  <w:noWrap/>
                  <w:vAlign w:val="center"/>
                  <w:hideMark/>
                </w:tcPr>
                <w:p w14:paraId="7EC90FFC" w14:textId="77777777" w:rsidR="00AE7C85" w:rsidRPr="00AE7C85" w:rsidRDefault="00AE7C85" w:rsidP="00AE7C85">
                  <w:pPr>
                    <w:jc w:val="right"/>
                    <w:rPr>
                      <w:rFonts w:ascii="Calibri" w:eastAsia="Times New Roman" w:hAnsi="Calibri" w:cs="Calibri"/>
                      <w:color w:val="000000"/>
                      <w:kern w:val="0"/>
                      <w:sz w:val="20"/>
                      <w:szCs w:val="20"/>
                      <w14:ligatures w14:val="none"/>
                    </w:rPr>
                  </w:pPr>
                  <w:r w:rsidRPr="00AE7C85">
                    <w:rPr>
                      <w:rFonts w:ascii="Calibri" w:eastAsia="Times New Roman" w:hAnsi="Calibri" w:cs="Calibri"/>
                      <w:color w:val="000000"/>
                      <w:kern w:val="0"/>
                      <w:sz w:val="20"/>
                      <w:szCs w:val="20"/>
                      <w14:ligatures w14:val="none"/>
                    </w:rPr>
                    <w:t>$1,799</w:t>
                  </w:r>
                </w:p>
              </w:tc>
            </w:tr>
          </w:tbl>
          <w:p w14:paraId="0A09B5A5" w14:textId="77777777" w:rsidR="00640ECD" w:rsidRDefault="00640ECD" w:rsidP="00855036">
            <w:pPr>
              <w:rPr>
                <w:rFonts w:ascii="Calibri" w:eastAsia="Times New Roman" w:hAnsi="Calibri" w:cs="Calibri"/>
                <w:b/>
                <w:bCs/>
                <w:color w:val="000000"/>
                <w:kern w:val="0"/>
                <w14:ligatures w14:val="none"/>
              </w:rPr>
            </w:pPr>
          </w:p>
          <w:p w14:paraId="1BC20074" w14:textId="418010E0" w:rsidR="00640ECD" w:rsidRPr="00AE7C85" w:rsidRDefault="00AE7C85"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data center effect </w:t>
            </w:r>
            <w:r w:rsidR="00B37F11">
              <w:rPr>
                <w:rFonts w:ascii="Calibri" w:eastAsia="Times New Roman" w:hAnsi="Calibri" w:cs="Calibri"/>
                <w:color w:val="000000"/>
                <w:kern w:val="0"/>
                <w14:ligatures w14:val="none"/>
              </w:rPr>
              <w:t xml:space="preserve">likely </w:t>
            </w:r>
            <w:r w:rsidR="00A551BB">
              <w:rPr>
                <w:rFonts w:ascii="Calibri" w:eastAsia="Times New Roman" w:hAnsi="Calibri" w:cs="Calibri"/>
                <w:color w:val="000000"/>
                <w:kern w:val="0"/>
                <w14:ligatures w14:val="none"/>
              </w:rPr>
              <w:t>will be a major</w:t>
            </w:r>
            <w:r>
              <w:rPr>
                <w:rFonts w:ascii="Calibri" w:eastAsia="Times New Roman" w:hAnsi="Calibri" w:cs="Calibri"/>
                <w:color w:val="000000"/>
                <w:kern w:val="0"/>
                <w14:ligatures w14:val="none"/>
              </w:rPr>
              <w:t xml:space="preserve"> factor influencing this outcome.  Driven by the shift of tech companies to AI, California is seeing little of this effect on </w:t>
            </w:r>
            <w:r w:rsidR="00A551BB">
              <w:rPr>
                <w:rFonts w:ascii="Calibri" w:eastAsia="Times New Roman" w:hAnsi="Calibri" w:cs="Calibri"/>
                <w:color w:val="000000"/>
                <w:kern w:val="0"/>
                <w14:ligatures w14:val="none"/>
              </w:rPr>
              <w:t xml:space="preserve">its </w:t>
            </w:r>
            <w:r>
              <w:rPr>
                <w:rFonts w:ascii="Calibri" w:eastAsia="Times New Roman" w:hAnsi="Calibri" w:cs="Calibri"/>
                <w:color w:val="000000"/>
                <w:kern w:val="0"/>
                <w14:ligatures w14:val="none"/>
              </w:rPr>
              <w:t xml:space="preserve">electricity demand and prices since the </w:t>
            </w:r>
            <w:r w:rsidR="00E83552">
              <w:rPr>
                <w:rFonts w:ascii="Calibri" w:eastAsia="Times New Roman" w:hAnsi="Calibri" w:cs="Calibri"/>
                <w:color w:val="000000"/>
                <w:kern w:val="0"/>
                <w14:ligatures w14:val="none"/>
              </w:rPr>
              <w:t xml:space="preserve">overwhelming </w:t>
            </w:r>
            <w:r>
              <w:rPr>
                <w:rFonts w:ascii="Calibri" w:eastAsia="Times New Roman" w:hAnsi="Calibri" w:cs="Calibri"/>
                <w:color w:val="000000"/>
                <w:kern w:val="0"/>
                <w14:ligatures w14:val="none"/>
              </w:rPr>
              <w:t>bulk of this development</w:t>
            </w:r>
            <w:r w:rsidR="00E83552">
              <w:rPr>
                <w:rFonts w:ascii="Calibri" w:eastAsia="Times New Roman" w:hAnsi="Calibri" w:cs="Calibri"/>
                <w:color w:val="000000"/>
                <w:kern w:val="0"/>
                <w14:ligatures w14:val="none"/>
              </w:rPr>
              <w:t xml:space="preserve"> and its associated local tax base</w:t>
            </w:r>
            <w:r>
              <w:rPr>
                <w:rFonts w:ascii="Calibri" w:eastAsia="Times New Roman" w:hAnsi="Calibri" w:cs="Calibri"/>
                <w:color w:val="000000"/>
                <w:kern w:val="0"/>
                <w14:ligatures w14:val="none"/>
              </w:rPr>
              <w:t xml:space="preserve"> is going to other states.  </w:t>
            </w:r>
            <w:r w:rsidR="00A551BB">
              <w:rPr>
                <w:rFonts w:ascii="Calibri" w:eastAsia="Times New Roman" w:hAnsi="Calibri" w:cs="Calibri"/>
                <w:color w:val="000000"/>
                <w:kern w:val="0"/>
                <w14:ligatures w14:val="none"/>
              </w:rPr>
              <w:t>While California’s tech industry is the leading force behind this trend, the state’s high electricity costs, reliability issues, and byzantine</w:t>
            </w:r>
            <w:r w:rsidR="00B37F11">
              <w:rPr>
                <w:rFonts w:ascii="Calibri" w:eastAsia="Times New Roman" w:hAnsi="Calibri" w:cs="Calibri"/>
                <w:color w:val="000000"/>
                <w:kern w:val="0"/>
                <w14:ligatures w14:val="none"/>
              </w:rPr>
              <w:t xml:space="preserve"> and lengthy</w:t>
            </w:r>
            <w:r w:rsidR="00A551BB">
              <w:rPr>
                <w:rFonts w:ascii="Calibri" w:eastAsia="Times New Roman" w:hAnsi="Calibri" w:cs="Calibri"/>
                <w:color w:val="000000"/>
                <w:kern w:val="0"/>
                <w14:ligatures w14:val="none"/>
              </w:rPr>
              <w:t xml:space="preserve"> permitting procedures mean these demand and cost impacts are being shifted to other regions.  </w:t>
            </w:r>
          </w:p>
          <w:p w14:paraId="72AA32BF" w14:textId="77777777" w:rsidR="00640ECD" w:rsidRDefault="00640ECD" w:rsidP="00855036">
            <w:pPr>
              <w:rPr>
                <w:rFonts w:ascii="Calibri" w:eastAsia="Times New Roman" w:hAnsi="Calibri" w:cs="Calibri"/>
                <w:b/>
                <w:bCs/>
                <w:color w:val="000000"/>
                <w:kern w:val="0"/>
                <w14:ligatures w14:val="none"/>
              </w:rPr>
            </w:pPr>
          </w:p>
          <w:p w14:paraId="76F8992B" w14:textId="5F301341" w:rsidR="00AE7C85" w:rsidRDefault="00AE7C85" w:rsidP="00AE7C85">
            <w:pPr>
              <w:jc w:val="center"/>
              <w:rPr>
                <w:rFonts w:ascii="Calibri" w:eastAsia="Times New Roman" w:hAnsi="Calibri" w:cs="Calibri"/>
                <w:b/>
                <w:bCs/>
                <w:color w:val="000000"/>
                <w:kern w:val="0"/>
                <w14:ligatures w14:val="none"/>
              </w:rPr>
            </w:pPr>
            <w:r>
              <w:rPr>
                <w:noProof/>
              </w:rPr>
              <w:drawing>
                <wp:inline distT="0" distB="0" distL="0" distR="0" wp14:anchorId="525F9441" wp14:editId="62714381">
                  <wp:extent cx="4035941" cy="3129148"/>
                  <wp:effectExtent l="0" t="0" r="3175" b="0"/>
                  <wp:docPr id="69497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087" name=""/>
                          <pic:cNvPicPr/>
                        </pic:nvPicPr>
                        <pic:blipFill>
                          <a:blip r:embed="rId9"/>
                          <a:stretch>
                            <a:fillRect/>
                          </a:stretch>
                        </pic:blipFill>
                        <pic:spPr>
                          <a:xfrm>
                            <a:off x="0" y="0"/>
                            <a:ext cx="4042449" cy="3134194"/>
                          </a:xfrm>
                          <a:prstGeom prst="rect">
                            <a:avLst/>
                          </a:prstGeom>
                        </pic:spPr>
                      </pic:pic>
                    </a:graphicData>
                  </a:graphic>
                </wp:inline>
              </w:drawing>
            </w:r>
          </w:p>
          <w:p w14:paraId="723E706C" w14:textId="0B723A36" w:rsidR="00E83552" w:rsidRPr="00E83552" w:rsidRDefault="00E83552" w:rsidP="00AE7C85">
            <w:pPr>
              <w:jc w:val="center"/>
              <w:rPr>
                <w:rFonts w:ascii="Calibri" w:eastAsia="Times New Roman" w:hAnsi="Calibri" w:cs="Calibri"/>
                <w:b/>
                <w:bCs/>
                <w:color w:val="000000"/>
                <w:kern w:val="0"/>
                <w:sz w:val="20"/>
                <w:szCs w:val="20"/>
                <w14:ligatures w14:val="none"/>
              </w:rPr>
            </w:pPr>
            <w:r w:rsidRPr="00E83552">
              <w:rPr>
                <w:rFonts w:ascii="Calibri" w:eastAsia="Times New Roman" w:hAnsi="Calibri" w:cs="Calibri"/>
                <w:b/>
                <w:bCs/>
                <w:color w:val="000000"/>
                <w:kern w:val="0"/>
                <w:sz w:val="20"/>
                <w:szCs w:val="20"/>
                <w14:ligatures w14:val="none"/>
              </w:rPr>
              <w:t>Current Data Centers</w:t>
            </w:r>
          </w:p>
          <w:p w14:paraId="22DA7E86" w14:textId="3D4A9B8E" w:rsidR="00AE7C85" w:rsidRPr="00AE7C85" w:rsidRDefault="00AE7C85" w:rsidP="00AE7C85">
            <w:pPr>
              <w:jc w:val="center"/>
              <w:rPr>
                <w:rFonts w:ascii="Calibri" w:eastAsia="Times New Roman" w:hAnsi="Calibri" w:cs="Calibri"/>
                <w:i/>
                <w:iCs/>
                <w:color w:val="000000"/>
                <w:kern w:val="0"/>
                <w:sz w:val="18"/>
                <w:szCs w:val="18"/>
                <w14:ligatures w14:val="none"/>
              </w:rPr>
            </w:pPr>
            <w:r>
              <w:rPr>
                <w:rFonts w:ascii="Calibri" w:eastAsia="Times New Roman" w:hAnsi="Calibri" w:cs="Calibri"/>
                <w:i/>
                <w:iCs/>
                <w:color w:val="000000"/>
                <w:kern w:val="0"/>
                <w:sz w:val="18"/>
                <w:szCs w:val="18"/>
                <w14:ligatures w14:val="none"/>
              </w:rPr>
              <w:t xml:space="preserve">Source:  </w:t>
            </w:r>
            <w:hyperlink r:id="rId10" w:history="1">
              <w:r w:rsidRPr="00AE7C85">
                <w:rPr>
                  <w:rStyle w:val="Hyperlink"/>
                  <w:rFonts w:ascii="Calibri" w:eastAsia="Times New Roman" w:hAnsi="Calibri" w:cs="Calibri"/>
                  <w:i/>
                  <w:iCs/>
                  <w:kern w:val="0"/>
                  <w:sz w:val="18"/>
                  <w:szCs w:val="18"/>
                  <w14:ligatures w14:val="none"/>
                </w:rPr>
                <w:t>Wall Street Journal</w:t>
              </w:r>
            </w:hyperlink>
          </w:p>
          <w:p w14:paraId="6CEB4130" w14:textId="77777777" w:rsidR="00AE7C85" w:rsidRDefault="00AE7C85" w:rsidP="00855036">
            <w:pPr>
              <w:rPr>
                <w:rFonts w:ascii="Calibri" w:eastAsia="Times New Roman" w:hAnsi="Calibri" w:cs="Calibri"/>
                <w:b/>
                <w:bCs/>
                <w:color w:val="000000"/>
                <w:kern w:val="0"/>
                <w14:ligatures w14:val="none"/>
              </w:rPr>
            </w:pPr>
          </w:p>
          <w:p w14:paraId="31B21C4F" w14:textId="696D509E" w:rsidR="00271CC7" w:rsidRDefault="00271CC7" w:rsidP="00271CC7">
            <w:pPr>
              <w:jc w:val="center"/>
              <w:rPr>
                <w:rFonts w:ascii="Calibri" w:eastAsia="Times New Roman" w:hAnsi="Calibri" w:cs="Calibri"/>
                <w:b/>
                <w:bCs/>
                <w:color w:val="000000"/>
                <w:kern w:val="0"/>
                <w14:ligatures w14:val="none"/>
              </w:rPr>
            </w:pPr>
            <w:r>
              <w:rPr>
                <w:noProof/>
              </w:rPr>
              <w:lastRenderedPageBreak/>
              <w:drawing>
                <wp:inline distT="0" distB="0" distL="0" distR="0" wp14:anchorId="21BAB49D" wp14:editId="559A8950">
                  <wp:extent cx="4023793" cy="2050157"/>
                  <wp:effectExtent l="0" t="0" r="0" b="7620"/>
                  <wp:docPr id="109808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81712" name=""/>
                          <pic:cNvPicPr/>
                        </pic:nvPicPr>
                        <pic:blipFill>
                          <a:blip r:embed="rId11"/>
                          <a:stretch>
                            <a:fillRect/>
                          </a:stretch>
                        </pic:blipFill>
                        <pic:spPr>
                          <a:xfrm>
                            <a:off x="0" y="0"/>
                            <a:ext cx="4039103" cy="2057957"/>
                          </a:xfrm>
                          <a:prstGeom prst="rect">
                            <a:avLst/>
                          </a:prstGeom>
                        </pic:spPr>
                      </pic:pic>
                    </a:graphicData>
                  </a:graphic>
                </wp:inline>
              </w:drawing>
            </w:r>
          </w:p>
          <w:p w14:paraId="3B18B30A" w14:textId="26629FBB" w:rsidR="00271CC7" w:rsidRPr="00E83552" w:rsidRDefault="00271CC7" w:rsidP="00271CC7">
            <w:pPr>
              <w:jc w:val="center"/>
              <w:rPr>
                <w:rFonts w:ascii="Calibri" w:eastAsia="Times New Roman" w:hAnsi="Calibri" w:cs="Calibri"/>
                <w:b/>
                <w:bCs/>
                <w:color w:val="000000"/>
                <w:kern w:val="0"/>
                <w:sz w:val="20"/>
                <w:szCs w:val="20"/>
                <w14:ligatures w14:val="none"/>
              </w:rPr>
            </w:pPr>
            <w:r w:rsidRPr="00E83552">
              <w:rPr>
                <w:rFonts w:ascii="Calibri" w:eastAsia="Times New Roman" w:hAnsi="Calibri" w:cs="Calibri"/>
                <w:b/>
                <w:bCs/>
                <w:color w:val="000000"/>
                <w:kern w:val="0"/>
                <w:sz w:val="20"/>
                <w:szCs w:val="20"/>
                <w14:ligatures w14:val="none"/>
              </w:rPr>
              <w:t>Data Centers</w:t>
            </w:r>
            <w:r>
              <w:rPr>
                <w:rFonts w:ascii="Calibri" w:eastAsia="Times New Roman" w:hAnsi="Calibri" w:cs="Calibri"/>
                <w:b/>
                <w:bCs/>
                <w:color w:val="000000"/>
                <w:kern w:val="0"/>
                <w:sz w:val="20"/>
                <w:szCs w:val="20"/>
                <w14:ligatures w14:val="none"/>
              </w:rPr>
              <w:t xml:space="preserve"> Proposed &amp; Under Construction</w:t>
            </w:r>
            <w:r w:rsidR="009B2BCB">
              <w:rPr>
                <w:rFonts w:ascii="Calibri" w:eastAsia="Times New Roman" w:hAnsi="Calibri" w:cs="Calibri"/>
                <w:b/>
                <w:bCs/>
                <w:color w:val="000000"/>
                <w:kern w:val="0"/>
                <w:sz w:val="20"/>
                <w:szCs w:val="20"/>
                <w14:ligatures w14:val="none"/>
              </w:rPr>
              <w:t>, October 2024</w:t>
            </w:r>
          </w:p>
          <w:p w14:paraId="3D995BFA" w14:textId="140E388C" w:rsidR="00271CC7" w:rsidRPr="009B2BCB" w:rsidRDefault="00271CC7" w:rsidP="00271CC7">
            <w:pPr>
              <w:jc w:val="center"/>
              <w:rPr>
                <w:rFonts w:ascii="Calibri" w:eastAsia="Times New Roman" w:hAnsi="Calibri" w:cs="Calibri"/>
                <w:color w:val="000000"/>
                <w:kern w:val="0"/>
                <w:sz w:val="18"/>
                <w:szCs w:val="18"/>
                <w14:ligatures w14:val="none"/>
              </w:rPr>
            </w:pPr>
            <w:r>
              <w:rPr>
                <w:rFonts w:ascii="Calibri" w:eastAsia="Times New Roman" w:hAnsi="Calibri" w:cs="Calibri"/>
                <w:i/>
                <w:iCs/>
                <w:color w:val="000000"/>
                <w:kern w:val="0"/>
                <w:sz w:val="18"/>
                <w:szCs w:val="18"/>
                <w14:ligatures w14:val="none"/>
              </w:rPr>
              <w:t xml:space="preserve">Source:  </w:t>
            </w:r>
            <w:hyperlink r:id="rId12" w:history="1">
              <w:r w:rsidR="009B2BCB" w:rsidRPr="009B2BCB">
                <w:rPr>
                  <w:rStyle w:val="Hyperlink"/>
                  <w:rFonts w:ascii="Calibri" w:eastAsia="Times New Roman" w:hAnsi="Calibri" w:cs="Calibri"/>
                  <w:kern w:val="0"/>
                  <w:sz w:val="18"/>
                  <w:szCs w:val="18"/>
                  <w14:ligatures w14:val="none"/>
                </w:rPr>
                <w:t>H</w:t>
              </w:r>
              <w:r w:rsidR="009B2BCB" w:rsidRPr="009B2BCB">
                <w:rPr>
                  <w:rStyle w:val="Hyperlink"/>
                  <w:sz w:val="18"/>
                  <w:szCs w:val="18"/>
                </w:rPr>
                <w:t>ubexo Construction Wire</w:t>
              </w:r>
            </w:hyperlink>
          </w:p>
          <w:p w14:paraId="21327566" w14:textId="77777777" w:rsidR="00AE7C85" w:rsidRDefault="00AE7C85" w:rsidP="00B84D37">
            <w:pPr>
              <w:rPr>
                <w:rFonts w:ascii="Calibri" w:eastAsia="Times New Roman" w:hAnsi="Calibri" w:cs="Calibri"/>
                <w:b/>
                <w:bCs/>
                <w:color w:val="000000"/>
                <w:kern w:val="0"/>
                <w14:ligatures w14:val="none"/>
              </w:rPr>
            </w:pPr>
          </w:p>
          <w:p w14:paraId="3C4E477F" w14:textId="7EDD9BB8" w:rsidR="00B84D37" w:rsidRPr="00B84D37" w:rsidRDefault="00B84D37" w:rsidP="00B84D37">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Recent </w:t>
            </w:r>
            <w:r w:rsidR="00037E19">
              <w:rPr>
                <w:rFonts w:ascii="Calibri" w:eastAsia="Times New Roman" w:hAnsi="Calibri" w:cs="Calibri"/>
                <w:color w:val="000000"/>
                <w:kern w:val="0"/>
                <w14:ligatures w14:val="none"/>
              </w:rPr>
              <w:t xml:space="preserve">Department of Energy </w:t>
            </w:r>
            <w:hyperlink r:id="rId13" w:history="1">
              <w:r w:rsidRPr="00037E19">
                <w:rPr>
                  <w:rStyle w:val="Hyperlink"/>
                  <w:rFonts w:ascii="Calibri" w:eastAsia="Times New Roman" w:hAnsi="Calibri" w:cs="Calibri"/>
                  <w:kern w:val="0"/>
                  <w14:ligatures w14:val="none"/>
                </w:rPr>
                <w:t>projections</w:t>
              </w:r>
            </w:hyperlink>
            <w:r>
              <w:rPr>
                <w:rFonts w:ascii="Calibri" w:eastAsia="Times New Roman" w:hAnsi="Calibri" w:cs="Calibri"/>
                <w:color w:val="000000"/>
                <w:kern w:val="0"/>
                <w14:ligatures w14:val="none"/>
              </w:rPr>
              <w:t xml:space="preserve"> see data center electricity demand rising from an estimated 176 TWh (4.4% of US electricity demand) in 2023, to between 325 TWh (6.7%) to </w:t>
            </w:r>
            <w:r w:rsidR="00037E19">
              <w:rPr>
                <w:rFonts w:ascii="Calibri" w:eastAsia="Times New Roman" w:hAnsi="Calibri" w:cs="Calibri"/>
                <w:color w:val="000000"/>
                <w:kern w:val="0"/>
                <w14:ligatures w14:val="none"/>
              </w:rPr>
              <w:t>580 TWh (12.0%) by 2028.  Separate estimates put cryptocurrency mining operations</w:t>
            </w:r>
            <w:r w:rsidR="00037E19" w:rsidRPr="00037E19">
              <w:rPr>
                <w:rFonts w:ascii="Calibri" w:eastAsia="Times New Roman" w:hAnsi="Calibri" w:cs="Calibri"/>
                <w:color w:val="000000"/>
                <w:kern w:val="0"/>
                <w14:ligatures w14:val="none"/>
              </w:rPr>
              <w:t>—</w:t>
            </w:r>
            <w:r w:rsidR="00037E19">
              <w:rPr>
                <w:rFonts w:ascii="Calibri" w:eastAsia="Times New Roman" w:hAnsi="Calibri" w:cs="Calibri"/>
                <w:color w:val="000000"/>
                <w:kern w:val="0"/>
                <w14:ligatures w14:val="none"/>
              </w:rPr>
              <w:t>also located predominantly in other states due to the same cost and permitting factors even though many of these companies are headquartered in California—at 70 TWh in 2023</w:t>
            </w:r>
            <w:r w:rsidR="0024060E">
              <w:rPr>
                <w:rFonts w:ascii="Calibri" w:eastAsia="Times New Roman" w:hAnsi="Calibri" w:cs="Calibri"/>
                <w:color w:val="000000"/>
                <w:kern w:val="0"/>
                <w14:ligatures w14:val="none"/>
              </w:rPr>
              <w:t xml:space="preserve"> and about 240 TWh by 2028.</w:t>
            </w:r>
          </w:p>
          <w:p w14:paraId="4D784B37" w14:textId="77777777" w:rsidR="00B84D37" w:rsidRDefault="00B84D37" w:rsidP="00B84D37">
            <w:pPr>
              <w:rPr>
                <w:rFonts w:ascii="Calibri" w:eastAsia="Times New Roman" w:hAnsi="Calibri" w:cs="Calibri"/>
                <w:b/>
                <w:bCs/>
                <w:color w:val="000000"/>
                <w:kern w:val="0"/>
                <w14:ligatures w14:val="none"/>
              </w:rPr>
            </w:pPr>
          </w:p>
          <w:p w14:paraId="7C0A851A" w14:textId="70C626ED" w:rsidR="00865855" w:rsidRDefault="00865855" w:rsidP="00865855">
            <w:pPr>
              <w:rPr>
                <w:rFonts w:ascii="Calibri" w:eastAsia="Times New Roman" w:hAnsi="Calibri" w:cs="Calibri"/>
                <w:b/>
                <w:bCs/>
                <w:color w:val="000000"/>
                <w:kern w:val="0"/>
                <w:sz w:val="36"/>
                <w:szCs w:val="36"/>
                <w14:ligatures w14:val="none"/>
              </w:rPr>
            </w:pPr>
            <w:r>
              <w:rPr>
                <w:rFonts w:ascii="Calibri" w:eastAsia="Times New Roman" w:hAnsi="Calibri" w:cs="Calibri"/>
                <w:b/>
                <w:bCs/>
                <w:color w:val="000000"/>
                <w:kern w:val="0"/>
                <w:sz w:val="36"/>
                <w:szCs w:val="36"/>
                <w14:ligatures w14:val="none"/>
              </w:rPr>
              <w:t>California Cuts GHG Emissions by 2</w:t>
            </w:r>
            <w:r w:rsidR="008A2CEA">
              <w:rPr>
                <w:rFonts w:ascii="Calibri" w:eastAsia="Times New Roman" w:hAnsi="Calibri" w:cs="Calibri"/>
                <w:b/>
                <w:bCs/>
                <w:color w:val="000000"/>
                <w:kern w:val="0"/>
                <w:sz w:val="36"/>
                <w:szCs w:val="36"/>
                <w14:ligatures w14:val="none"/>
              </w:rPr>
              <w:t>1</w:t>
            </w:r>
            <w:r>
              <w:rPr>
                <w:rFonts w:ascii="Calibri" w:eastAsia="Times New Roman" w:hAnsi="Calibri" w:cs="Calibri"/>
                <w:b/>
                <w:bCs/>
                <w:color w:val="000000"/>
                <w:kern w:val="0"/>
                <w:sz w:val="36"/>
                <w:szCs w:val="36"/>
                <w14:ligatures w14:val="none"/>
              </w:rPr>
              <w:t>% Since 2000—But at What Cost?</w:t>
            </w:r>
          </w:p>
          <w:p w14:paraId="36514A9B" w14:textId="77777777" w:rsidR="00865855" w:rsidRPr="00865855" w:rsidRDefault="00865855" w:rsidP="00865855">
            <w:pPr>
              <w:rPr>
                <w:rFonts w:ascii="Calibri" w:eastAsia="Times New Roman" w:hAnsi="Calibri" w:cs="Calibri"/>
                <w:color w:val="000000"/>
                <w:kern w:val="0"/>
                <w14:ligatures w14:val="none"/>
              </w:rPr>
            </w:pPr>
          </w:p>
          <w:p w14:paraId="31EB5DDB" w14:textId="32632213" w:rsidR="00865855" w:rsidRPr="00865855" w:rsidRDefault="00B83F6F" w:rsidP="00865855">
            <w:pPr>
              <w:rPr>
                <w:rFonts w:ascii="Calibri" w:eastAsia="Times New Roman" w:hAnsi="Calibri" w:cs="Calibri"/>
                <w:color w:val="000000"/>
                <w:kern w:val="0"/>
                <w14:ligatures w14:val="none"/>
              </w:rPr>
            </w:pPr>
            <w:r w:rsidRPr="00B83F6F">
              <w:rPr>
                <w:rFonts w:ascii="Calibri" w:eastAsia="Times New Roman" w:hAnsi="Calibri" w:cs="Calibri"/>
                <w:color w:val="000000"/>
                <w:kern w:val="0"/>
                <w14:ligatures w14:val="none"/>
              </w:rPr>
              <w:t>F</w:t>
            </w:r>
            <w:r w:rsidRPr="00B83F6F">
              <w:rPr>
                <w:rFonts w:ascii="Calibri" w:hAnsi="Calibri" w:cs="Calibri"/>
                <w:color w:val="000000"/>
              </w:rPr>
              <w:t>ollowing</w:t>
            </w:r>
            <w:r w:rsidR="00865855" w:rsidRPr="00B83F6F">
              <w:rPr>
                <w:rFonts w:ascii="Calibri" w:eastAsia="Times New Roman" w:hAnsi="Calibri" w:cs="Calibri"/>
                <w:color w:val="000000"/>
                <w:kern w:val="0"/>
                <w14:ligatures w14:val="none"/>
              </w:rPr>
              <w:t xml:space="preserve"> </w:t>
            </w:r>
            <w:r w:rsidR="00865855">
              <w:rPr>
                <w:rFonts w:ascii="Calibri" w:eastAsia="Times New Roman" w:hAnsi="Calibri" w:cs="Calibri"/>
                <w:color w:val="000000"/>
                <w:kern w:val="0"/>
                <w14:ligatures w14:val="none"/>
              </w:rPr>
              <w:t>the recent release of Air Resources Board</w:t>
            </w:r>
            <w:r w:rsidR="007C3545">
              <w:rPr>
                <w:rFonts w:ascii="Calibri" w:eastAsia="Times New Roman" w:hAnsi="Calibri" w:cs="Calibri"/>
                <w:color w:val="000000"/>
                <w:kern w:val="0"/>
                <w14:ligatures w14:val="none"/>
              </w:rPr>
              <w:t>’s</w:t>
            </w:r>
            <w:r w:rsidR="00865855">
              <w:rPr>
                <w:rFonts w:ascii="Calibri" w:eastAsia="Times New Roman" w:hAnsi="Calibri" w:cs="Calibri"/>
                <w:color w:val="000000"/>
                <w:kern w:val="0"/>
                <w14:ligatures w14:val="none"/>
              </w:rPr>
              <w:t xml:space="preserve"> </w:t>
            </w:r>
            <w:hyperlink r:id="rId14" w:history="1">
              <w:r w:rsidR="00865855" w:rsidRPr="00865855">
                <w:rPr>
                  <w:rStyle w:val="Hyperlink"/>
                  <w:rFonts w:ascii="Calibri" w:eastAsia="Times New Roman" w:hAnsi="Calibri" w:cs="Calibri"/>
                  <w:kern w:val="0"/>
                  <w14:ligatures w14:val="none"/>
                </w:rPr>
                <w:t>2023 G</w:t>
              </w:r>
              <w:r w:rsidR="00865855" w:rsidRPr="00865855">
                <w:rPr>
                  <w:rStyle w:val="Hyperlink"/>
                  <w:rFonts w:ascii="Calibri" w:hAnsi="Calibri" w:cs="Calibri"/>
                </w:rPr>
                <w:t xml:space="preserve">HG </w:t>
              </w:r>
              <w:r w:rsidR="00865855" w:rsidRPr="00865855">
                <w:rPr>
                  <w:rStyle w:val="Hyperlink"/>
                  <w:rFonts w:ascii="Calibri" w:eastAsia="Times New Roman" w:hAnsi="Calibri" w:cs="Calibri"/>
                  <w:kern w:val="0"/>
                  <w14:ligatures w14:val="none"/>
                </w:rPr>
                <w:t>Inventory</w:t>
              </w:r>
            </w:hyperlink>
            <w:r w:rsidR="00865855">
              <w:rPr>
                <w:rFonts w:ascii="Calibri" w:eastAsia="Times New Roman" w:hAnsi="Calibri" w:cs="Calibri"/>
                <w:color w:val="000000"/>
                <w:kern w:val="0"/>
                <w14:ligatures w14:val="none"/>
              </w:rPr>
              <w:t xml:space="preserve">, </w:t>
            </w:r>
            <w:r w:rsidR="007C3545">
              <w:rPr>
                <w:rFonts w:ascii="Calibri" w:eastAsia="Times New Roman" w:hAnsi="Calibri" w:cs="Calibri"/>
                <w:color w:val="000000"/>
                <w:kern w:val="0"/>
                <w14:ligatures w14:val="none"/>
              </w:rPr>
              <w:t xml:space="preserve">the </w:t>
            </w:r>
            <w:hyperlink r:id="rId15" w:history="1">
              <w:r w:rsidR="007C3545" w:rsidRPr="007C3545">
                <w:rPr>
                  <w:rStyle w:val="Hyperlink"/>
                  <w:rFonts w:ascii="Calibri" w:eastAsia="Times New Roman" w:hAnsi="Calibri" w:cs="Calibri"/>
                  <w:kern w:val="0"/>
                  <w14:ligatures w14:val="none"/>
                </w:rPr>
                <w:t>governor</w:t>
              </w:r>
            </w:hyperlink>
            <w:r w:rsidR="007C3545">
              <w:rPr>
                <w:rFonts w:ascii="Calibri" w:eastAsia="Times New Roman" w:hAnsi="Calibri" w:cs="Calibri"/>
                <w:color w:val="000000"/>
                <w:kern w:val="0"/>
                <w14:ligatures w14:val="none"/>
              </w:rPr>
              <w:t xml:space="preserve"> once again claimed victory for California’s climate programs, stating “</w:t>
            </w:r>
            <w:r w:rsidR="007C3545" w:rsidRPr="007C3545">
              <w:rPr>
                <w:rFonts w:ascii="Calibri" w:eastAsia="Times New Roman" w:hAnsi="Calibri" w:cs="Calibri"/>
                <w:color w:val="000000"/>
                <w:kern w:val="0"/>
                <w14:ligatures w14:val="none"/>
              </w:rPr>
              <w:t>While California’s emissions go down, its economy continues to expand.</w:t>
            </w:r>
            <w:r w:rsidR="007C3545">
              <w:rPr>
                <w:rFonts w:ascii="Calibri" w:eastAsia="Times New Roman" w:hAnsi="Calibri" w:cs="Calibri"/>
                <w:color w:val="000000"/>
                <w:kern w:val="0"/>
                <w14:ligatures w14:val="none"/>
              </w:rPr>
              <w:t>”  In all, the 2023 inventory estimates the state has reduced its emissions by 21% since 2000, or the “</w:t>
            </w:r>
            <w:r w:rsidR="007C3545" w:rsidRPr="007C3545">
              <w:rPr>
                <w:rFonts w:ascii="Calibri" w:eastAsia="Times New Roman" w:hAnsi="Calibri" w:cs="Calibri"/>
                <w:color w:val="000000"/>
                <w:kern w:val="0"/>
                <w14:ligatures w14:val="none"/>
              </w:rPr>
              <w:t>equivalent to removing the annual emissions from 22.9 million cars.</w:t>
            </w:r>
            <w:r w:rsidR="007C3545">
              <w:rPr>
                <w:rFonts w:ascii="Calibri" w:eastAsia="Times New Roman" w:hAnsi="Calibri" w:cs="Calibri"/>
                <w:color w:val="000000"/>
                <w:kern w:val="0"/>
                <w14:ligatures w14:val="none"/>
              </w:rPr>
              <w:t>”</w:t>
            </w:r>
          </w:p>
          <w:p w14:paraId="3AA1293C" w14:textId="77777777" w:rsidR="00865855" w:rsidRDefault="00865855" w:rsidP="00865855">
            <w:pPr>
              <w:rPr>
                <w:rFonts w:ascii="Calibri" w:eastAsia="Times New Roman" w:hAnsi="Calibri" w:cs="Calibri"/>
                <w:color w:val="000000"/>
                <w:kern w:val="0"/>
                <w14:ligatures w14:val="none"/>
              </w:rPr>
            </w:pPr>
          </w:p>
          <w:p w14:paraId="0A05ADBF" w14:textId="16E72F2A" w:rsidR="00D500BC" w:rsidRDefault="00CC37C1"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As usual, t</w:t>
            </w:r>
            <w:r w:rsidR="008A2CEA">
              <w:rPr>
                <w:rFonts w:ascii="Calibri" w:eastAsia="Times New Roman" w:hAnsi="Calibri" w:cs="Calibri"/>
                <w:color w:val="000000"/>
                <w:kern w:val="0"/>
                <w14:ligatures w14:val="none"/>
              </w:rPr>
              <w:t xml:space="preserve">he announcement as with the Air Board materials again </w:t>
            </w:r>
            <w:r w:rsidR="00AD38F7">
              <w:rPr>
                <w:rFonts w:ascii="Calibri" w:eastAsia="Times New Roman" w:hAnsi="Calibri" w:cs="Calibri"/>
                <w:color w:val="000000"/>
                <w:kern w:val="0"/>
                <w14:ligatures w14:val="none"/>
              </w:rPr>
              <w:t>is</w:t>
            </w:r>
            <w:r w:rsidR="008A2CEA">
              <w:rPr>
                <w:rFonts w:ascii="Calibri" w:eastAsia="Times New Roman" w:hAnsi="Calibri" w:cs="Calibri"/>
                <w:color w:val="000000"/>
                <w:kern w:val="0"/>
                <w14:ligatures w14:val="none"/>
              </w:rPr>
              <w:t xml:space="preserve"> silent on the costs</w:t>
            </w:r>
            <w:r>
              <w:rPr>
                <w:rFonts w:ascii="Calibri" w:eastAsia="Times New Roman" w:hAnsi="Calibri" w:cs="Calibri"/>
                <w:color w:val="000000"/>
                <w:kern w:val="0"/>
                <w14:ligatures w14:val="none"/>
              </w:rPr>
              <w:t xml:space="preserve"> being</w:t>
            </w:r>
            <w:r w:rsidR="008A2CEA">
              <w:rPr>
                <w:rFonts w:ascii="Calibri" w:eastAsia="Times New Roman" w:hAnsi="Calibri" w:cs="Calibri"/>
                <w:color w:val="000000"/>
                <w:kern w:val="0"/>
                <w14:ligatures w14:val="none"/>
              </w:rPr>
              <w:t xml:space="preserve"> paid by households and employers to achieve these reductions.  </w:t>
            </w:r>
            <w:r>
              <w:rPr>
                <w:rFonts w:ascii="Calibri" w:eastAsia="Times New Roman" w:hAnsi="Calibri" w:cs="Calibri"/>
                <w:color w:val="000000"/>
                <w:kern w:val="0"/>
                <w14:ligatures w14:val="none"/>
              </w:rPr>
              <w:t xml:space="preserve">The governor in fact recently has gone so far as to claim that the </w:t>
            </w:r>
            <w:hyperlink r:id="rId16" w:history="1">
              <w:r w:rsidRPr="00CC37C1">
                <w:rPr>
                  <w:rStyle w:val="Hyperlink"/>
                  <w:rFonts w:ascii="Calibri" w:eastAsia="Times New Roman" w:hAnsi="Calibri" w:cs="Calibri"/>
                  <w:kern w:val="0"/>
                  <w14:ligatures w14:val="none"/>
                </w:rPr>
                <w:t>recent extension</w:t>
              </w:r>
            </w:hyperlink>
            <w:r>
              <w:rPr>
                <w:rFonts w:ascii="Calibri" w:eastAsia="Times New Roman" w:hAnsi="Calibri" w:cs="Calibri"/>
                <w:color w:val="000000"/>
                <w:kern w:val="0"/>
                <w14:ligatures w14:val="none"/>
              </w:rPr>
              <w:t xml:space="preserve"> of the state’s Cap &amp; Trade fee is “</w:t>
            </w:r>
            <w:r w:rsidRPr="00CC37C1">
              <w:rPr>
                <w:rFonts w:ascii="Calibri" w:eastAsia="Times New Roman" w:hAnsi="Calibri" w:cs="Calibri"/>
                <w:color w:val="000000"/>
                <w:kern w:val="0"/>
                <w14:ligatures w14:val="none"/>
              </w:rPr>
              <w:t>a major victory for affordability</w:t>
            </w:r>
            <w:r>
              <w:rPr>
                <w:rFonts w:ascii="Calibri" w:eastAsia="Times New Roman" w:hAnsi="Calibri" w:cs="Calibri"/>
                <w:color w:val="000000"/>
                <w:kern w:val="0"/>
                <w14:ligatures w14:val="none"/>
              </w:rPr>
              <w:t>” rather than what it really is:  a carbon tax that increases the cost of energy consumed by households and employers only in this state.  For example, the latest numbers indicate Cap &amp; Trade accounts for 29 cents (6%) of every gallon of gasoline and is rising.</w:t>
            </w:r>
            <w:r w:rsidR="003E49A5">
              <w:rPr>
                <w:rFonts w:ascii="Calibri" w:eastAsia="Times New Roman" w:hAnsi="Calibri" w:cs="Calibri"/>
                <w:color w:val="000000"/>
                <w:kern w:val="0"/>
                <w14:ligatures w14:val="none"/>
              </w:rPr>
              <w:t xml:space="preserve">  Comparable increases also affect the cost of electricity, </w:t>
            </w:r>
            <w:r w:rsidR="0042497F">
              <w:rPr>
                <w:rFonts w:ascii="Calibri" w:eastAsia="Times New Roman" w:hAnsi="Calibri" w:cs="Calibri"/>
                <w:color w:val="000000"/>
                <w:kern w:val="0"/>
                <w14:ligatures w14:val="none"/>
              </w:rPr>
              <w:t xml:space="preserve">diesel, </w:t>
            </w:r>
            <w:r w:rsidR="003E49A5">
              <w:rPr>
                <w:rFonts w:ascii="Calibri" w:eastAsia="Times New Roman" w:hAnsi="Calibri" w:cs="Calibri"/>
                <w:color w:val="000000"/>
                <w:kern w:val="0"/>
                <w14:ligatures w14:val="none"/>
              </w:rPr>
              <w:t>natural gas, and air travel through jet fuel, both directly and as these taxes percolate through the economy and affect the costs of other goods and services.</w:t>
            </w:r>
          </w:p>
          <w:p w14:paraId="53453BED" w14:textId="77777777" w:rsidR="00CC37C1" w:rsidRDefault="00CC37C1" w:rsidP="00865855">
            <w:pPr>
              <w:rPr>
                <w:rFonts w:ascii="Calibri" w:eastAsia="Times New Roman" w:hAnsi="Calibri" w:cs="Calibri"/>
                <w:color w:val="000000"/>
                <w:kern w:val="0"/>
                <w14:ligatures w14:val="none"/>
              </w:rPr>
            </w:pPr>
          </w:p>
          <w:p w14:paraId="0962F99F" w14:textId="77777777" w:rsidR="0042497F" w:rsidRDefault="00CC37C1"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As a partial estimate of the additional costs related to the state’s emissions program, the following focuses on the primary direct energy purchases by households and employers.  </w:t>
            </w:r>
            <w:r w:rsidR="008D3860">
              <w:rPr>
                <w:rFonts w:ascii="Calibri" w:eastAsia="Times New Roman" w:hAnsi="Calibri" w:cs="Calibri"/>
                <w:color w:val="000000"/>
                <w:kern w:val="0"/>
                <w14:ligatures w14:val="none"/>
              </w:rPr>
              <w:t>These are only partial estimates.  They do not include items such as various measures—building code changes, climate based CEQA lawsuits, VMT fees, etc.—that affect both the availability and cost of housing</w:t>
            </w:r>
            <w:r w:rsidR="0042497F">
              <w:rPr>
                <w:rFonts w:ascii="Calibri" w:eastAsia="Times New Roman" w:hAnsi="Calibri" w:cs="Calibri"/>
                <w:color w:val="000000"/>
                <w:kern w:val="0"/>
                <w14:ligatures w14:val="none"/>
              </w:rPr>
              <w:t>, added costs to imported goods due to port regulations, economic effects from companies locating their more energy-cost sensitive operations to lower cost locations, and others.</w:t>
            </w:r>
          </w:p>
          <w:p w14:paraId="1B0F2069" w14:textId="77777777" w:rsidR="0042497F" w:rsidRDefault="0042497F" w:rsidP="00865855">
            <w:pPr>
              <w:rPr>
                <w:rFonts w:ascii="Calibri" w:eastAsia="Times New Roman" w:hAnsi="Calibri" w:cs="Calibri"/>
                <w:color w:val="000000"/>
                <w:kern w:val="0"/>
                <w14:ligatures w14:val="none"/>
              </w:rPr>
            </w:pPr>
          </w:p>
          <w:p w14:paraId="4933C3A0" w14:textId="77777777" w:rsidR="0042497F" w:rsidRDefault="0042497F"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following assumptions were used in deriving these estimates:</w:t>
            </w:r>
          </w:p>
          <w:p w14:paraId="1D4E8E18" w14:textId="77777777" w:rsidR="0042497F" w:rsidRDefault="0042497F" w:rsidP="00865855">
            <w:pPr>
              <w:rPr>
                <w:rFonts w:ascii="Calibri" w:eastAsia="Times New Roman" w:hAnsi="Calibri" w:cs="Calibri"/>
                <w:color w:val="000000"/>
                <w:kern w:val="0"/>
                <w14:ligatures w14:val="none"/>
              </w:rPr>
            </w:pPr>
          </w:p>
          <w:p w14:paraId="2ED689B4" w14:textId="134EC851" w:rsidR="00CC37C1" w:rsidRPr="009102BE" w:rsidRDefault="0042497F" w:rsidP="009102BE">
            <w:pPr>
              <w:pStyle w:val="ListParagraph"/>
              <w:numPr>
                <w:ilvl w:val="0"/>
                <w:numId w:val="1"/>
              </w:numPr>
              <w:rPr>
                <w:rFonts w:ascii="Calibri" w:eastAsia="Times New Roman" w:hAnsi="Calibri" w:cs="Calibri"/>
                <w:color w:val="000000"/>
                <w:kern w:val="0"/>
                <w14:ligatures w14:val="none"/>
              </w:rPr>
            </w:pPr>
            <w:r w:rsidRPr="009102BE">
              <w:rPr>
                <w:rFonts w:ascii="Calibri" w:eastAsia="Times New Roman" w:hAnsi="Calibri" w:cs="Calibri"/>
                <w:color w:val="000000"/>
                <w:kern w:val="0"/>
                <w14:ligatures w14:val="none"/>
              </w:rPr>
              <w:t>Rather than 2000, due to data availability and to ensure a more proper accounting, the analysis considers emission reductions since 2010, the year the state’s current climate change programs began under the AB 32 Early Action Items.  Some of the current measures predate that point, including some Air Board fuel regulations, early iterations of the Renewable Portfolio Standard for electricity,</w:t>
            </w:r>
            <w:r w:rsidR="00D500BC">
              <w:rPr>
                <w:rFonts w:ascii="Calibri" w:eastAsia="Times New Roman" w:hAnsi="Calibri" w:cs="Calibri"/>
                <w:color w:val="000000"/>
                <w:kern w:val="0"/>
                <w14:ligatures w14:val="none"/>
              </w:rPr>
              <w:t xml:space="preserve"> early electric vehicle requirements,</w:t>
            </w:r>
            <w:r w:rsidRPr="009102BE">
              <w:rPr>
                <w:rFonts w:ascii="Calibri" w:eastAsia="Times New Roman" w:hAnsi="Calibri" w:cs="Calibri"/>
                <w:color w:val="000000"/>
                <w:kern w:val="0"/>
                <w14:ligatures w14:val="none"/>
              </w:rPr>
              <w:t xml:space="preserve"> and various regulations under the Energy Commission and PUC</w:t>
            </w:r>
            <w:r w:rsidR="002247BD" w:rsidRPr="009102BE">
              <w:rPr>
                <w:rFonts w:ascii="Calibri" w:eastAsia="Times New Roman" w:hAnsi="Calibri" w:cs="Calibri"/>
                <w:color w:val="000000"/>
                <w:kern w:val="0"/>
                <w14:ligatures w14:val="none"/>
              </w:rPr>
              <w:t xml:space="preserve">, but the bulk of the state’s mandates have been imposed </w:t>
            </w:r>
            <w:r w:rsidR="00D500BC">
              <w:rPr>
                <w:rFonts w:ascii="Calibri" w:eastAsia="Times New Roman" w:hAnsi="Calibri" w:cs="Calibri"/>
                <w:color w:val="000000"/>
                <w:kern w:val="0"/>
                <w14:ligatures w14:val="none"/>
              </w:rPr>
              <w:t xml:space="preserve">or made stricter </w:t>
            </w:r>
            <w:r w:rsidR="002247BD" w:rsidRPr="009102BE">
              <w:rPr>
                <w:rFonts w:ascii="Calibri" w:eastAsia="Times New Roman" w:hAnsi="Calibri" w:cs="Calibri"/>
                <w:color w:val="000000"/>
                <w:kern w:val="0"/>
                <w14:ligatures w14:val="none"/>
              </w:rPr>
              <w:t>since 2010</w:t>
            </w:r>
            <w:r w:rsidRPr="009102BE">
              <w:rPr>
                <w:rFonts w:ascii="Calibri" w:eastAsia="Times New Roman" w:hAnsi="Calibri" w:cs="Calibri"/>
                <w:color w:val="000000"/>
                <w:kern w:val="0"/>
                <w14:ligatures w14:val="none"/>
              </w:rPr>
              <w:t>.  This period covered 77% of the emission reductions since 2000, or to use the Air Board’s favored metric, the equivalent of removing the annual emissions of 17.7 million cars.</w:t>
            </w:r>
          </w:p>
          <w:p w14:paraId="1E086F4F" w14:textId="77777777" w:rsidR="0042497F" w:rsidRDefault="0042497F" w:rsidP="00865855">
            <w:pPr>
              <w:rPr>
                <w:rFonts w:ascii="Calibri" w:eastAsia="Times New Roman" w:hAnsi="Calibri" w:cs="Calibri"/>
                <w:color w:val="000000"/>
                <w:kern w:val="0"/>
                <w14:ligatures w14:val="none"/>
              </w:rPr>
            </w:pPr>
          </w:p>
          <w:p w14:paraId="3B198A55" w14:textId="63CF16A0" w:rsidR="0042497F" w:rsidRPr="009102BE" w:rsidRDefault="002247BD" w:rsidP="009102BE">
            <w:pPr>
              <w:pStyle w:val="ListParagraph"/>
              <w:numPr>
                <w:ilvl w:val="0"/>
                <w:numId w:val="1"/>
              </w:numPr>
              <w:rPr>
                <w:rFonts w:ascii="Calibri" w:eastAsia="Times New Roman" w:hAnsi="Calibri" w:cs="Calibri"/>
                <w:color w:val="000000"/>
                <w:kern w:val="0"/>
                <w14:ligatures w14:val="none"/>
              </w:rPr>
            </w:pPr>
            <w:r w:rsidRPr="009102BE">
              <w:rPr>
                <w:rFonts w:ascii="Calibri" w:eastAsia="Times New Roman" w:hAnsi="Calibri" w:cs="Calibri"/>
                <w:color w:val="000000"/>
                <w:kern w:val="0"/>
                <w14:ligatures w14:val="none"/>
              </w:rPr>
              <w:t xml:space="preserve">As a general measure, California costs are measured compared to the average for the rest of the US.  There are many other factors that lie behind the increasing divergence between these costs, but in general they reflect a general state trend of increasing the spread rather than efforts to bring these costs more in line through a </w:t>
            </w:r>
            <w:r w:rsidR="00D500BC">
              <w:rPr>
                <w:rFonts w:ascii="Calibri" w:eastAsia="Times New Roman" w:hAnsi="Calibri" w:cs="Calibri"/>
                <w:color w:val="000000"/>
                <w:kern w:val="0"/>
                <w14:ligatures w14:val="none"/>
              </w:rPr>
              <w:t>direct</w:t>
            </w:r>
            <w:r w:rsidRPr="009102BE">
              <w:rPr>
                <w:rFonts w:ascii="Calibri" w:eastAsia="Times New Roman" w:hAnsi="Calibri" w:cs="Calibri"/>
                <w:color w:val="000000"/>
                <w:kern w:val="0"/>
                <w14:ligatures w14:val="none"/>
              </w:rPr>
              <w:t xml:space="preserve"> consideration of affordability.  They also reflect the tendency of the state to </w:t>
            </w:r>
            <w:r w:rsidR="009102BE" w:rsidRPr="009102BE">
              <w:rPr>
                <w:rFonts w:ascii="Calibri" w:eastAsia="Times New Roman" w:hAnsi="Calibri" w:cs="Calibri"/>
                <w:color w:val="000000"/>
                <w:kern w:val="0"/>
                <w14:ligatures w14:val="none"/>
              </w:rPr>
              <w:t>pursue a never-ending spiral of raising</w:t>
            </w:r>
            <w:r w:rsidRPr="009102BE">
              <w:rPr>
                <w:rFonts w:ascii="Calibri" w:eastAsia="Times New Roman" w:hAnsi="Calibri" w:cs="Calibri"/>
                <w:color w:val="000000"/>
                <w:kern w:val="0"/>
                <w14:ligatures w14:val="none"/>
              </w:rPr>
              <w:t xml:space="preserve"> costs even further to subsidize</w:t>
            </w:r>
            <w:r w:rsidR="009102BE" w:rsidRPr="009102BE">
              <w:rPr>
                <w:rFonts w:ascii="Calibri" w:eastAsia="Times New Roman" w:hAnsi="Calibri" w:cs="Calibri"/>
                <w:color w:val="000000"/>
                <w:kern w:val="0"/>
                <w14:ligatures w14:val="none"/>
              </w:rPr>
              <w:t xml:space="preserve"> the most affected</w:t>
            </w:r>
            <w:r w:rsidRPr="009102BE">
              <w:rPr>
                <w:rFonts w:ascii="Calibri" w:eastAsia="Times New Roman" w:hAnsi="Calibri" w:cs="Calibri"/>
                <w:color w:val="000000"/>
                <w:kern w:val="0"/>
                <w14:ligatures w14:val="none"/>
              </w:rPr>
              <w:t xml:space="preserve"> households rather than deal with the factors pushing costs up directly.  This approach also reflects the de facto aggregate effect of state policies </w:t>
            </w:r>
            <w:r w:rsidR="009102BE" w:rsidRPr="009102BE">
              <w:rPr>
                <w:rFonts w:ascii="Calibri" w:eastAsia="Times New Roman" w:hAnsi="Calibri" w:cs="Calibri"/>
                <w:color w:val="000000"/>
                <w:kern w:val="0"/>
                <w14:ligatures w14:val="none"/>
              </w:rPr>
              <w:t>increasing</w:t>
            </w:r>
            <w:r w:rsidRPr="009102BE">
              <w:rPr>
                <w:rFonts w:ascii="Calibri" w:eastAsia="Times New Roman" w:hAnsi="Calibri" w:cs="Calibri"/>
                <w:color w:val="000000"/>
                <w:kern w:val="0"/>
                <w14:ligatures w14:val="none"/>
              </w:rPr>
              <w:t xml:space="preserve"> energy costs in general to lower demand and consequently emissions.</w:t>
            </w:r>
            <w:r w:rsidR="009102BE" w:rsidRPr="009102BE">
              <w:rPr>
                <w:rFonts w:ascii="Calibri" w:eastAsia="Times New Roman" w:hAnsi="Calibri" w:cs="Calibri"/>
                <w:color w:val="000000"/>
                <w:kern w:val="0"/>
                <w14:ligatures w14:val="none"/>
              </w:rPr>
              <w:t xml:space="preserve">  At the same time, by not using a comparison with the lowest cost states, this approach underestimates the costs that would otherwise result from using this “art of the possible” as the base.</w:t>
            </w:r>
          </w:p>
          <w:p w14:paraId="0AA9C2D7" w14:textId="77777777" w:rsidR="009102BE" w:rsidRDefault="009102BE" w:rsidP="00865855">
            <w:pPr>
              <w:rPr>
                <w:rFonts w:ascii="Calibri" w:eastAsia="Times New Roman" w:hAnsi="Calibri" w:cs="Calibri"/>
                <w:color w:val="000000"/>
                <w:kern w:val="0"/>
                <w14:ligatures w14:val="none"/>
              </w:rPr>
            </w:pPr>
          </w:p>
          <w:p w14:paraId="197798AC" w14:textId="1DE8076F" w:rsidR="009102BE" w:rsidRDefault="009102BE" w:rsidP="009102BE">
            <w:pPr>
              <w:pStyle w:val="ListParagraph"/>
              <w:numPr>
                <w:ilvl w:val="0"/>
                <w:numId w:val="1"/>
              </w:numPr>
              <w:rPr>
                <w:rFonts w:ascii="Calibri" w:eastAsia="Times New Roman" w:hAnsi="Calibri" w:cs="Calibri"/>
                <w:color w:val="000000"/>
                <w:kern w:val="0"/>
                <w14:ligatures w14:val="none"/>
              </w:rPr>
            </w:pPr>
            <w:r w:rsidRPr="009102BE">
              <w:rPr>
                <w:rFonts w:ascii="Calibri" w:eastAsia="Times New Roman" w:hAnsi="Calibri" w:cs="Calibri"/>
                <w:color w:val="000000"/>
                <w:kern w:val="0"/>
                <w14:ligatures w14:val="none"/>
              </w:rPr>
              <w:t xml:space="preserve">As taken from the Center’s data banks, costs are broken out by fuel type and where available, by end user and applied to annual consumption.  The cost spread for gasoline is taken from the Center’s reported data for regular gasoline.  Data sources include:  Air Resources Board, </w:t>
            </w:r>
            <w:r w:rsidR="00DA3CD2">
              <w:rPr>
                <w:rFonts w:ascii="Calibri" w:eastAsia="Times New Roman" w:hAnsi="Calibri" w:cs="Calibri"/>
                <w:color w:val="000000"/>
                <w:kern w:val="0"/>
                <w14:ligatures w14:val="none"/>
              </w:rPr>
              <w:t xml:space="preserve">California Department of Finance, </w:t>
            </w:r>
            <w:r w:rsidRPr="009102BE">
              <w:rPr>
                <w:rFonts w:ascii="Calibri" w:eastAsia="Times New Roman" w:hAnsi="Calibri" w:cs="Calibri"/>
                <w:color w:val="000000"/>
                <w:kern w:val="0"/>
                <w14:ligatures w14:val="none"/>
              </w:rPr>
              <w:t xml:space="preserve">California Department of Tax &amp; Fee Administration, US Energy Information Administration, US Department of Transportation, GasBuddy.com, and Kelley Blue Book.  </w:t>
            </w:r>
          </w:p>
          <w:p w14:paraId="16D938B8" w14:textId="77777777" w:rsidR="00B774EE" w:rsidRPr="00B774EE" w:rsidRDefault="00B774EE" w:rsidP="00B774EE">
            <w:pPr>
              <w:pStyle w:val="ListParagraph"/>
              <w:rPr>
                <w:rFonts w:ascii="Calibri" w:eastAsia="Times New Roman" w:hAnsi="Calibri" w:cs="Calibri"/>
                <w:color w:val="000000"/>
                <w:kern w:val="0"/>
                <w14:ligatures w14:val="none"/>
              </w:rPr>
            </w:pPr>
          </w:p>
          <w:p w14:paraId="426AD0CE" w14:textId="111AA7EC" w:rsidR="00B774EE" w:rsidRPr="009102BE" w:rsidRDefault="00B774EE" w:rsidP="009102BE">
            <w:pPr>
              <w:pStyle w:val="ListParagraph"/>
              <w:numPr>
                <w:ilvl w:val="0"/>
                <w:numId w:val="1"/>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Using the recently published final electricity data from US Energy Information Administration, costs are estimated </w:t>
            </w:r>
            <w:r w:rsidR="00D500BC">
              <w:rPr>
                <w:rFonts w:ascii="Calibri" w:eastAsia="Times New Roman" w:hAnsi="Calibri" w:cs="Calibri"/>
                <w:color w:val="000000"/>
                <w:kern w:val="0"/>
                <w14:ligatures w14:val="none"/>
              </w:rPr>
              <w:t xml:space="preserve">for 2010 </w:t>
            </w:r>
            <w:r>
              <w:rPr>
                <w:rFonts w:ascii="Calibri" w:eastAsia="Times New Roman" w:hAnsi="Calibri" w:cs="Calibri"/>
                <w:color w:val="000000"/>
                <w:kern w:val="0"/>
                <w14:ligatures w14:val="none"/>
              </w:rPr>
              <w:t>through 2024</w:t>
            </w:r>
          </w:p>
          <w:p w14:paraId="46D949C0" w14:textId="77777777" w:rsidR="002247BD" w:rsidRDefault="002247BD" w:rsidP="00865855">
            <w:pPr>
              <w:rPr>
                <w:rFonts w:ascii="Calibri" w:eastAsia="Times New Roman" w:hAnsi="Calibri" w:cs="Calibri"/>
                <w:color w:val="000000"/>
                <w:kern w:val="0"/>
                <w14:ligatures w14:val="none"/>
              </w:rPr>
            </w:pPr>
          </w:p>
          <w:p w14:paraId="2A80B956" w14:textId="0FFD5637" w:rsidR="002247BD" w:rsidRDefault="00C13730"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results are shown in the following table, expressed both as a total additional cost paid by households and employers and, to put these numbers into perspective, an equivalent amount per household.  The table accounts for the increased costs to gasoline, diesel, natural gas, and electricity.</w:t>
            </w:r>
          </w:p>
          <w:p w14:paraId="4341F76C" w14:textId="77777777" w:rsidR="00C13730" w:rsidRDefault="00C13730" w:rsidP="00865855">
            <w:pPr>
              <w:rPr>
                <w:rFonts w:ascii="Calibri" w:eastAsia="Times New Roman" w:hAnsi="Calibri" w:cs="Calibri"/>
                <w:color w:val="000000"/>
                <w:kern w:val="0"/>
                <w14:ligatures w14:val="none"/>
              </w:rPr>
            </w:pPr>
          </w:p>
          <w:tbl>
            <w:tblPr>
              <w:tblW w:w="3763" w:type="dxa"/>
              <w:tblLook w:val="04A0" w:firstRow="1" w:lastRow="0" w:firstColumn="1" w:lastColumn="0" w:noHBand="0" w:noVBand="1"/>
            </w:tblPr>
            <w:tblGrid>
              <w:gridCol w:w="712"/>
              <w:gridCol w:w="1307"/>
              <w:gridCol w:w="1744"/>
            </w:tblGrid>
            <w:tr w:rsidR="00C13730" w:rsidRPr="00C13730" w14:paraId="397EC6B4" w14:textId="77777777" w:rsidTr="00C13730">
              <w:trPr>
                <w:trHeight w:val="300"/>
              </w:trPr>
              <w:tc>
                <w:tcPr>
                  <w:tcW w:w="3763" w:type="dxa"/>
                  <w:gridSpan w:val="3"/>
                  <w:tcBorders>
                    <w:top w:val="nil"/>
                    <w:left w:val="nil"/>
                    <w:bottom w:val="nil"/>
                    <w:right w:val="nil"/>
                  </w:tcBorders>
                  <w:noWrap/>
                  <w:vAlign w:val="center"/>
                  <w:hideMark/>
                </w:tcPr>
                <w:p w14:paraId="0E504BF6" w14:textId="77777777" w:rsidR="00C13730" w:rsidRPr="00C13730" w:rsidRDefault="00C13730" w:rsidP="00C13730">
                  <w:pPr>
                    <w:rPr>
                      <w:rFonts w:ascii="Calibri" w:eastAsia="Times New Roman" w:hAnsi="Calibri" w:cs="Calibri"/>
                      <w:b/>
                      <w:bCs/>
                      <w:color w:val="000000"/>
                      <w:kern w:val="0"/>
                      <w14:ligatures w14:val="none"/>
                    </w:rPr>
                  </w:pPr>
                  <w:r w:rsidRPr="00C13730">
                    <w:rPr>
                      <w:rFonts w:ascii="Calibri" w:eastAsia="Times New Roman" w:hAnsi="Calibri" w:cs="Calibri"/>
                      <w:b/>
                      <w:bCs/>
                      <w:color w:val="000000"/>
                      <w:kern w:val="0"/>
                      <w14:ligatures w14:val="none"/>
                    </w:rPr>
                    <w:t>Estimated Cost Impact on Energy</w:t>
                  </w:r>
                </w:p>
              </w:tc>
            </w:tr>
            <w:tr w:rsidR="00C13730" w:rsidRPr="00C13730" w14:paraId="5671BECE" w14:textId="77777777" w:rsidTr="00C13730">
              <w:trPr>
                <w:trHeight w:val="63"/>
              </w:trPr>
              <w:tc>
                <w:tcPr>
                  <w:tcW w:w="3763" w:type="dxa"/>
                  <w:gridSpan w:val="3"/>
                  <w:tcBorders>
                    <w:top w:val="nil"/>
                    <w:left w:val="nil"/>
                    <w:bottom w:val="nil"/>
                    <w:right w:val="nil"/>
                  </w:tcBorders>
                  <w:noWrap/>
                  <w:vAlign w:val="center"/>
                  <w:hideMark/>
                </w:tcPr>
                <w:p w14:paraId="4F99B2EB" w14:textId="77777777" w:rsidR="00C13730" w:rsidRPr="00C13730" w:rsidRDefault="00C13730" w:rsidP="00C13730">
                  <w:pPr>
                    <w:rPr>
                      <w:rFonts w:ascii="Calibri" w:eastAsia="Times New Roman" w:hAnsi="Calibri" w:cs="Calibri"/>
                      <w:i/>
                      <w:iCs/>
                      <w:color w:val="000000"/>
                      <w:kern w:val="0"/>
                      <w:sz w:val="16"/>
                      <w:szCs w:val="16"/>
                      <w14:ligatures w14:val="none"/>
                    </w:rPr>
                  </w:pPr>
                  <w:r w:rsidRPr="00C13730">
                    <w:rPr>
                      <w:rFonts w:ascii="Calibri" w:eastAsia="Times New Roman" w:hAnsi="Calibri" w:cs="Calibri"/>
                      <w:i/>
                      <w:iCs/>
                      <w:color w:val="000000"/>
                      <w:kern w:val="0"/>
                      <w:sz w:val="16"/>
                      <w:szCs w:val="16"/>
                      <w14:ligatures w14:val="none"/>
                    </w:rPr>
                    <w:t>Source:  see text</w:t>
                  </w:r>
                </w:p>
              </w:tc>
            </w:tr>
            <w:tr w:rsidR="00C13730" w:rsidRPr="00C13730" w14:paraId="14D54307" w14:textId="77777777" w:rsidTr="00C13730">
              <w:trPr>
                <w:trHeight w:val="63"/>
              </w:trPr>
              <w:tc>
                <w:tcPr>
                  <w:tcW w:w="3763" w:type="dxa"/>
                  <w:gridSpan w:val="3"/>
                  <w:tcBorders>
                    <w:top w:val="nil"/>
                    <w:left w:val="nil"/>
                    <w:bottom w:val="single" w:sz="8" w:space="0" w:color="auto"/>
                    <w:right w:val="nil"/>
                  </w:tcBorders>
                  <w:noWrap/>
                  <w:vAlign w:val="center"/>
                  <w:hideMark/>
                </w:tcPr>
                <w:p w14:paraId="64B1D214"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 </w:t>
                  </w:r>
                </w:p>
              </w:tc>
            </w:tr>
            <w:tr w:rsidR="00C13730" w:rsidRPr="00C13730" w14:paraId="63FC37EE" w14:textId="77777777" w:rsidTr="00C13730">
              <w:trPr>
                <w:trHeight w:val="315"/>
              </w:trPr>
              <w:tc>
                <w:tcPr>
                  <w:tcW w:w="712" w:type="dxa"/>
                  <w:tcBorders>
                    <w:top w:val="nil"/>
                    <w:left w:val="nil"/>
                    <w:bottom w:val="single" w:sz="8" w:space="0" w:color="auto"/>
                    <w:right w:val="nil"/>
                  </w:tcBorders>
                  <w:noWrap/>
                  <w:vAlign w:val="center"/>
                  <w:hideMark/>
                </w:tcPr>
                <w:p w14:paraId="54791D63" w14:textId="77777777" w:rsidR="00C13730" w:rsidRPr="00C13730" w:rsidRDefault="00C13730" w:rsidP="00C13730">
                  <w:pPr>
                    <w:rPr>
                      <w:rFonts w:ascii="Calibri" w:eastAsia="Times New Roman" w:hAnsi="Calibri" w:cs="Calibri"/>
                      <w:b/>
                      <w:bCs/>
                      <w:color w:val="000000"/>
                      <w:kern w:val="0"/>
                      <w:sz w:val="20"/>
                      <w:szCs w:val="20"/>
                      <w14:ligatures w14:val="none"/>
                    </w:rPr>
                  </w:pPr>
                  <w:r w:rsidRPr="00C13730">
                    <w:rPr>
                      <w:rFonts w:ascii="Calibri" w:eastAsia="Times New Roman" w:hAnsi="Calibri" w:cs="Calibri"/>
                      <w:b/>
                      <w:bCs/>
                      <w:color w:val="000000"/>
                      <w:kern w:val="0"/>
                      <w:sz w:val="20"/>
                      <w:szCs w:val="20"/>
                      <w14:ligatures w14:val="none"/>
                    </w:rPr>
                    <w:t> </w:t>
                  </w:r>
                </w:p>
              </w:tc>
              <w:tc>
                <w:tcPr>
                  <w:tcW w:w="1307" w:type="dxa"/>
                  <w:tcBorders>
                    <w:top w:val="nil"/>
                    <w:left w:val="nil"/>
                    <w:bottom w:val="single" w:sz="8" w:space="0" w:color="auto"/>
                    <w:right w:val="nil"/>
                  </w:tcBorders>
                  <w:noWrap/>
                  <w:vAlign w:val="center"/>
                  <w:hideMark/>
                </w:tcPr>
                <w:p w14:paraId="4569417F" w14:textId="77777777" w:rsidR="00C13730" w:rsidRPr="00C13730" w:rsidRDefault="00C13730" w:rsidP="00C13730">
                  <w:pPr>
                    <w:jc w:val="center"/>
                    <w:rPr>
                      <w:rFonts w:ascii="Calibri" w:eastAsia="Times New Roman" w:hAnsi="Calibri" w:cs="Calibri"/>
                      <w:b/>
                      <w:bCs/>
                      <w:color w:val="000000"/>
                      <w:kern w:val="0"/>
                      <w:sz w:val="20"/>
                      <w:szCs w:val="20"/>
                      <w14:ligatures w14:val="none"/>
                    </w:rPr>
                  </w:pPr>
                  <w:r w:rsidRPr="00C13730">
                    <w:rPr>
                      <w:rFonts w:ascii="Calibri" w:eastAsia="Times New Roman" w:hAnsi="Calibri" w:cs="Calibri"/>
                      <w:b/>
                      <w:bCs/>
                      <w:color w:val="000000"/>
                      <w:kern w:val="0"/>
                      <w:sz w:val="20"/>
                      <w:szCs w:val="20"/>
                      <w14:ligatures w14:val="none"/>
                    </w:rPr>
                    <w:t>Total ($b)</w:t>
                  </w:r>
                </w:p>
              </w:tc>
              <w:tc>
                <w:tcPr>
                  <w:tcW w:w="1744" w:type="dxa"/>
                  <w:tcBorders>
                    <w:top w:val="nil"/>
                    <w:left w:val="nil"/>
                    <w:bottom w:val="single" w:sz="8" w:space="0" w:color="auto"/>
                    <w:right w:val="nil"/>
                  </w:tcBorders>
                  <w:noWrap/>
                  <w:vAlign w:val="center"/>
                  <w:hideMark/>
                </w:tcPr>
                <w:p w14:paraId="72027981" w14:textId="77777777" w:rsidR="00C13730" w:rsidRPr="00C13730" w:rsidRDefault="00C13730" w:rsidP="00C13730">
                  <w:pPr>
                    <w:jc w:val="center"/>
                    <w:rPr>
                      <w:rFonts w:ascii="Calibri" w:eastAsia="Times New Roman" w:hAnsi="Calibri" w:cs="Calibri"/>
                      <w:b/>
                      <w:bCs/>
                      <w:color w:val="000000"/>
                      <w:kern w:val="0"/>
                      <w:sz w:val="20"/>
                      <w:szCs w:val="20"/>
                      <w14:ligatures w14:val="none"/>
                    </w:rPr>
                  </w:pPr>
                  <w:r w:rsidRPr="00C13730">
                    <w:rPr>
                      <w:rFonts w:ascii="Calibri" w:eastAsia="Times New Roman" w:hAnsi="Calibri" w:cs="Calibri"/>
                      <w:b/>
                      <w:bCs/>
                      <w:color w:val="000000"/>
                      <w:kern w:val="0"/>
                      <w:sz w:val="20"/>
                      <w:szCs w:val="20"/>
                      <w14:ligatures w14:val="none"/>
                    </w:rPr>
                    <w:t>Per Household ($)</w:t>
                  </w:r>
                </w:p>
              </w:tc>
            </w:tr>
            <w:tr w:rsidR="00C13730" w:rsidRPr="00C13730" w14:paraId="64FA568E" w14:textId="77777777" w:rsidTr="00C13730">
              <w:trPr>
                <w:trHeight w:val="300"/>
              </w:trPr>
              <w:tc>
                <w:tcPr>
                  <w:tcW w:w="712" w:type="dxa"/>
                  <w:tcBorders>
                    <w:top w:val="nil"/>
                    <w:left w:val="nil"/>
                    <w:bottom w:val="nil"/>
                    <w:right w:val="nil"/>
                  </w:tcBorders>
                  <w:noWrap/>
                  <w:vAlign w:val="center"/>
                  <w:hideMark/>
                </w:tcPr>
                <w:p w14:paraId="5DFA9F38"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2010</w:t>
                  </w:r>
                </w:p>
              </w:tc>
              <w:tc>
                <w:tcPr>
                  <w:tcW w:w="1307" w:type="dxa"/>
                  <w:tcBorders>
                    <w:top w:val="nil"/>
                    <w:left w:val="nil"/>
                    <w:bottom w:val="nil"/>
                    <w:right w:val="nil"/>
                  </w:tcBorders>
                  <w:noWrap/>
                  <w:vAlign w:val="center"/>
                  <w:hideMark/>
                </w:tcPr>
                <w:p w14:paraId="72BB078D"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$15.2</w:t>
                  </w:r>
                </w:p>
              </w:tc>
              <w:tc>
                <w:tcPr>
                  <w:tcW w:w="1744" w:type="dxa"/>
                  <w:tcBorders>
                    <w:top w:val="nil"/>
                    <w:left w:val="nil"/>
                    <w:bottom w:val="nil"/>
                    <w:right w:val="nil"/>
                  </w:tcBorders>
                  <w:noWrap/>
                  <w:vAlign w:val="center"/>
                  <w:hideMark/>
                </w:tcPr>
                <w:p w14:paraId="0C1D8EC2"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$1,206</w:t>
                  </w:r>
                </w:p>
              </w:tc>
            </w:tr>
            <w:tr w:rsidR="00C13730" w:rsidRPr="00C13730" w14:paraId="46FEDA34" w14:textId="77777777" w:rsidTr="00C13730">
              <w:trPr>
                <w:trHeight w:val="300"/>
              </w:trPr>
              <w:tc>
                <w:tcPr>
                  <w:tcW w:w="712" w:type="dxa"/>
                  <w:tcBorders>
                    <w:top w:val="nil"/>
                    <w:left w:val="nil"/>
                    <w:bottom w:val="nil"/>
                    <w:right w:val="nil"/>
                  </w:tcBorders>
                  <w:noWrap/>
                  <w:vAlign w:val="center"/>
                  <w:hideMark/>
                </w:tcPr>
                <w:p w14:paraId="72D77A9F"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2011</w:t>
                  </w:r>
                </w:p>
              </w:tc>
              <w:tc>
                <w:tcPr>
                  <w:tcW w:w="1307" w:type="dxa"/>
                  <w:tcBorders>
                    <w:top w:val="nil"/>
                    <w:left w:val="nil"/>
                    <w:bottom w:val="nil"/>
                    <w:right w:val="nil"/>
                  </w:tcBorders>
                  <w:noWrap/>
                  <w:vAlign w:val="center"/>
                  <w:hideMark/>
                </w:tcPr>
                <w:p w14:paraId="4F881B53"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$15.0</w:t>
                  </w:r>
                </w:p>
              </w:tc>
              <w:tc>
                <w:tcPr>
                  <w:tcW w:w="1744" w:type="dxa"/>
                  <w:tcBorders>
                    <w:top w:val="nil"/>
                    <w:left w:val="nil"/>
                    <w:bottom w:val="nil"/>
                    <w:right w:val="nil"/>
                  </w:tcBorders>
                  <w:noWrap/>
                  <w:vAlign w:val="center"/>
                  <w:hideMark/>
                </w:tcPr>
                <w:p w14:paraId="338D18D8"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$1,190</w:t>
                  </w:r>
                </w:p>
              </w:tc>
            </w:tr>
            <w:tr w:rsidR="00C13730" w:rsidRPr="00C13730" w14:paraId="1F2E1A58" w14:textId="77777777" w:rsidTr="00C13730">
              <w:trPr>
                <w:trHeight w:val="300"/>
              </w:trPr>
              <w:tc>
                <w:tcPr>
                  <w:tcW w:w="712" w:type="dxa"/>
                  <w:tcBorders>
                    <w:top w:val="nil"/>
                    <w:left w:val="nil"/>
                    <w:bottom w:val="nil"/>
                    <w:right w:val="nil"/>
                  </w:tcBorders>
                  <w:noWrap/>
                  <w:vAlign w:val="center"/>
                  <w:hideMark/>
                </w:tcPr>
                <w:p w14:paraId="3A05DE86"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2012</w:t>
                  </w:r>
                </w:p>
              </w:tc>
              <w:tc>
                <w:tcPr>
                  <w:tcW w:w="1307" w:type="dxa"/>
                  <w:tcBorders>
                    <w:top w:val="nil"/>
                    <w:left w:val="nil"/>
                    <w:bottom w:val="nil"/>
                    <w:right w:val="nil"/>
                  </w:tcBorders>
                  <w:noWrap/>
                  <w:vAlign w:val="center"/>
                  <w:hideMark/>
                </w:tcPr>
                <w:p w14:paraId="0E368829"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$17.1</w:t>
                  </w:r>
                </w:p>
              </w:tc>
              <w:tc>
                <w:tcPr>
                  <w:tcW w:w="1744" w:type="dxa"/>
                  <w:tcBorders>
                    <w:top w:val="nil"/>
                    <w:left w:val="nil"/>
                    <w:bottom w:val="nil"/>
                    <w:right w:val="nil"/>
                  </w:tcBorders>
                  <w:noWrap/>
                  <w:vAlign w:val="center"/>
                  <w:hideMark/>
                </w:tcPr>
                <w:p w14:paraId="5D123953"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$1,351</w:t>
                  </w:r>
                </w:p>
              </w:tc>
            </w:tr>
            <w:tr w:rsidR="00C13730" w:rsidRPr="00C13730" w14:paraId="388CBFC0" w14:textId="77777777" w:rsidTr="00C13730">
              <w:trPr>
                <w:trHeight w:val="300"/>
              </w:trPr>
              <w:tc>
                <w:tcPr>
                  <w:tcW w:w="712" w:type="dxa"/>
                  <w:tcBorders>
                    <w:top w:val="nil"/>
                    <w:left w:val="nil"/>
                    <w:bottom w:val="nil"/>
                    <w:right w:val="nil"/>
                  </w:tcBorders>
                  <w:noWrap/>
                  <w:vAlign w:val="center"/>
                  <w:hideMark/>
                </w:tcPr>
                <w:p w14:paraId="46B558BE"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2013</w:t>
                  </w:r>
                </w:p>
              </w:tc>
              <w:tc>
                <w:tcPr>
                  <w:tcW w:w="1307" w:type="dxa"/>
                  <w:tcBorders>
                    <w:top w:val="nil"/>
                    <w:left w:val="nil"/>
                    <w:bottom w:val="nil"/>
                    <w:right w:val="nil"/>
                  </w:tcBorders>
                  <w:noWrap/>
                  <w:vAlign w:val="center"/>
                  <w:hideMark/>
                </w:tcPr>
                <w:p w14:paraId="361A4266"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$18.7</w:t>
                  </w:r>
                </w:p>
              </w:tc>
              <w:tc>
                <w:tcPr>
                  <w:tcW w:w="1744" w:type="dxa"/>
                  <w:tcBorders>
                    <w:top w:val="nil"/>
                    <w:left w:val="nil"/>
                    <w:bottom w:val="nil"/>
                    <w:right w:val="nil"/>
                  </w:tcBorders>
                  <w:noWrap/>
                  <w:vAlign w:val="center"/>
                  <w:hideMark/>
                </w:tcPr>
                <w:p w14:paraId="28720093"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$1,465</w:t>
                  </w:r>
                </w:p>
              </w:tc>
            </w:tr>
            <w:tr w:rsidR="00C13730" w:rsidRPr="00C13730" w14:paraId="7DE01672" w14:textId="77777777" w:rsidTr="00C13730">
              <w:trPr>
                <w:trHeight w:val="300"/>
              </w:trPr>
              <w:tc>
                <w:tcPr>
                  <w:tcW w:w="712" w:type="dxa"/>
                  <w:tcBorders>
                    <w:top w:val="nil"/>
                    <w:left w:val="nil"/>
                    <w:bottom w:val="nil"/>
                    <w:right w:val="nil"/>
                  </w:tcBorders>
                  <w:noWrap/>
                  <w:vAlign w:val="center"/>
                  <w:hideMark/>
                </w:tcPr>
                <w:p w14:paraId="0AA4F302"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2014</w:t>
                  </w:r>
                </w:p>
              </w:tc>
              <w:tc>
                <w:tcPr>
                  <w:tcW w:w="1307" w:type="dxa"/>
                  <w:tcBorders>
                    <w:top w:val="nil"/>
                    <w:left w:val="nil"/>
                    <w:bottom w:val="nil"/>
                    <w:right w:val="nil"/>
                  </w:tcBorders>
                  <w:noWrap/>
                  <w:vAlign w:val="center"/>
                  <w:hideMark/>
                </w:tcPr>
                <w:p w14:paraId="750B476D"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$20.0</w:t>
                  </w:r>
                </w:p>
              </w:tc>
              <w:tc>
                <w:tcPr>
                  <w:tcW w:w="1744" w:type="dxa"/>
                  <w:tcBorders>
                    <w:top w:val="nil"/>
                    <w:left w:val="nil"/>
                    <w:bottom w:val="nil"/>
                    <w:right w:val="nil"/>
                  </w:tcBorders>
                  <w:noWrap/>
                  <w:vAlign w:val="center"/>
                  <w:hideMark/>
                </w:tcPr>
                <w:p w14:paraId="4CC0072D"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$1,555</w:t>
                  </w:r>
                </w:p>
              </w:tc>
            </w:tr>
            <w:tr w:rsidR="00C13730" w:rsidRPr="00C13730" w14:paraId="29AA5428" w14:textId="77777777" w:rsidTr="00C13730">
              <w:trPr>
                <w:trHeight w:val="300"/>
              </w:trPr>
              <w:tc>
                <w:tcPr>
                  <w:tcW w:w="712" w:type="dxa"/>
                  <w:tcBorders>
                    <w:top w:val="nil"/>
                    <w:left w:val="nil"/>
                    <w:bottom w:val="nil"/>
                    <w:right w:val="nil"/>
                  </w:tcBorders>
                  <w:noWrap/>
                  <w:vAlign w:val="center"/>
                  <w:hideMark/>
                </w:tcPr>
                <w:p w14:paraId="18CA1019"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2015</w:t>
                  </w:r>
                </w:p>
              </w:tc>
              <w:tc>
                <w:tcPr>
                  <w:tcW w:w="1307" w:type="dxa"/>
                  <w:tcBorders>
                    <w:top w:val="nil"/>
                    <w:left w:val="nil"/>
                    <w:bottom w:val="nil"/>
                    <w:right w:val="nil"/>
                  </w:tcBorders>
                  <w:noWrap/>
                  <w:vAlign w:val="center"/>
                  <w:hideMark/>
                </w:tcPr>
                <w:p w14:paraId="1AD84C27"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$27.5</w:t>
                  </w:r>
                </w:p>
              </w:tc>
              <w:tc>
                <w:tcPr>
                  <w:tcW w:w="1744" w:type="dxa"/>
                  <w:tcBorders>
                    <w:top w:val="nil"/>
                    <w:left w:val="nil"/>
                    <w:bottom w:val="nil"/>
                    <w:right w:val="nil"/>
                  </w:tcBorders>
                  <w:noWrap/>
                  <w:vAlign w:val="center"/>
                  <w:hideMark/>
                </w:tcPr>
                <w:p w14:paraId="76EE2910"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$2,129</w:t>
                  </w:r>
                </w:p>
              </w:tc>
            </w:tr>
            <w:tr w:rsidR="00C13730" w:rsidRPr="00C13730" w14:paraId="16FD1C30" w14:textId="77777777" w:rsidTr="00C13730">
              <w:trPr>
                <w:trHeight w:val="300"/>
              </w:trPr>
              <w:tc>
                <w:tcPr>
                  <w:tcW w:w="712" w:type="dxa"/>
                  <w:tcBorders>
                    <w:top w:val="nil"/>
                    <w:left w:val="nil"/>
                    <w:bottom w:val="nil"/>
                    <w:right w:val="nil"/>
                  </w:tcBorders>
                  <w:noWrap/>
                  <w:vAlign w:val="center"/>
                  <w:hideMark/>
                </w:tcPr>
                <w:p w14:paraId="066B5A6D"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lastRenderedPageBreak/>
                    <w:t>2016</w:t>
                  </w:r>
                </w:p>
              </w:tc>
              <w:tc>
                <w:tcPr>
                  <w:tcW w:w="1307" w:type="dxa"/>
                  <w:tcBorders>
                    <w:top w:val="nil"/>
                    <w:left w:val="nil"/>
                    <w:bottom w:val="nil"/>
                    <w:right w:val="nil"/>
                  </w:tcBorders>
                  <w:noWrap/>
                  <w:vAlign w:val="center"/>
                  <w:hideMark/>
                </w:tcPr>
                <w:p w14:paraId="5F78BD8B"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$24.9</w:t>
                  </w:r>
                </w:p>
              </w:tc>
              <w:tc>
                <w:tcPr>
                  <w:tcW w:w="1744" w:type="dxa"/>
                  <w:tcBorders>
                    <w:top w:val="nil"/>
                    <w:left w:val="nil"/>
                    <w:bottom w:val="nil"/>
                    <w:right w:val="nil"/>
                  </w:tcBorders>
                  <w:noWrap/>
                  <w:vAlign w:val="center"/>
                  <w:hideMark/>
                </w:tcPr>
                <w:p w14:paraId="360C754F"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$1,908</w:t>
                  </w:r>
                </w:p>
              </w:tc>
            </w:tr>
            <w:tr w:rsidR="00C13730" w:rsidRPr="00C13730" w14:paraId="49288233" w14:textId="77777777" w:rsidTr="00C13730">
              <w:trPr>
                <w:trHeight w:val="300"/>
              </w:trPr>
              <w:tc>
                <w:tcPr>
                  <w:tcW w:w="712" w:type="dxa"/>
                  <w:tcBorders>
                    <w:top w:val="nil"/>
                    <w:left w:val="nil"/>
                    <w:bottom w:val="nil"/>
                    <w:right w:val="nil"/>
                  </w:tcBorders>
                  <w:noWrap/>
                  <w:vAlign w:val="center"/>
                  <w:hideMark/>
                </w:tcPr>
                <w:p w14:paraId="072F11AB"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2017</w:t>
                  </w:r>
                </w:p>
              </w:tc>
              <w:tc>
                <w:tcPr>
                  <w:tcW w:w="1307" w:type="dxa"/>
                  <w:tcBorders>
                    <w:top w:val="nil"/>
                    <w:left w:val="nil"/>
                    <w:bottom w:val="nil"/>
                    <w:right w:val="nil"/>
                  </w:tcBorders>
                  <w:noWrap/>
                  <w:vAlign w:val="center"/>
                  <w:hideMark/>
                </w:tcPr>
                <w:p w14:paraId="33C57163"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$29.4</w:t>
                  </w:r>
                </w:p>
              </w:tc>
              <w:tc>
                <w:tcPr>
                  <w:tcW w:w="1744" w:type="dxa"/>
                  <w:tcBorders>
                    <w:top w:val="nil"/>
                    <w:left w:val="nil"/>
                    <w:bottom w:val="nil"/>
                    <w:right w:val="nil"/>
                  </w:tcBorders>
                  <w:noWrap/>
                  <w:vAlign w:val="center"/>
                  <w:hideMark/>
                </w:tcPr>
                <w:p w14:paraId="389BB982"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$2,236</w:t>
                  </w:r>
                </w:p>
              </w:tc>
            </w:tr>
            <w:tr w:rsidR="00C13730" w:rsidRPr="00C13730" w14:paraId="54A187D5" w14:textId="77777777" w:rsidTr="00C13730">
              <w:trPr>
                <w:trHeight w:val="300"/>
              </w:trPr>
              <w:tc>
                <w:tcPr>
                  <w:tcW w:w="712" w:type="dxa"/>
                  <w:tcBorders>
                    <w:top w:val="nil"/>
                    <w:left w:val="nil"/>
                    <w:bottom w:val="nil"/>
                    <w:right w:val="nil"/>
                  </w:tcBorders>
                  <w:noWrap/>
                  <w:vAlign w:val="center"/>
                  <w:hideMark/>
                </w:tcPr>
                <w:p w14:paraId="3217AD6E"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2018</w:t>
                  </w:r>
                </w:p>
              </w:tc>
              <w:tc>
                <w:tcPr>
                  <w:tcW w:w="1307" w:type="dxa"/>
                  <w:tcBorders>
                    <w:top w:val="nil"/>
                    <w:left w:val="nil"/>
                    <w:bottom w:val="nil"/>
                    <w:right w:val="nil"/>
                  </w:tcBorders>
                  <w:noWrap/>
                  <w:vAlign w:val="center"/>
                  <w:hideMark/>
                </w:tcPr>
                <w:p w14:paraId="516512B3"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$33.3</w:t>
                  </w:r>
                </w:p>
              </w:tc>
              <w:tc>
                <w:tcPr>
                  <w:tcW w:w="1744" w:type="dxa"/>
                  <w:tcBorders>
                    <w:top w:val="nil"/>
                    <w:left w:val="nil"/>
                    <w:bottom w:val="nil"/>
                    <w:right w:val="nil"/>
                  </w:tcBorders>
                  <w:noWrap/>
                  <w:vAlign w:val="center"/>
                  <w:hideMark/>
                </w:tcPr>
                <w:p w14:paraId="2D8B50A5"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$2,513</w:t>
                  </w:r>
                </w:p>
              </w:tc>
            </w:tr>
            <w:tr w:rsidR="00C13730" w:rsidRPr="00C13730" w14:paraId="35D6B058" w14:textId="77777777" w:rsidTr="00C13730">
              <w:trPr>
                <w:trHeight w:val="300"/>
              </w:trPr>
              <w:tc>
                <w:tcPr>
                  <w:tcW w:w="712" w:type="dxa"/>
                  <w:tcBorders>
                    <w:top w:val="nil"/>
                    <w:left w:val="nil"/>
                    <w:bottom w:val="nil"/>
                    <w:right w:val="nil"/>
                  </w:tcBorders>
                  <w:noWrap/>
                  <w:vAlign w:val="center"/>
                  <w:hideMark/>
                </w:tcPr>
                <w:p w14:paraId="53E4D191"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2019</w:t>
                  </w:r>
                </w:p>
              </w:tc>
              <w:tc>
                <w:tcPr>
                  <w:tcW w:w="1307" w:type="dxa"/>
                  <w:tcBorders>
                    <w:top w:val="nil"/>
                    <w:left w:val="nil"/>
                    <w:bottom w:val="nil"/>
                    <w:right w:val="nil"/>
                  </w:tcBorders>
                  <w:noWrap/>
                  <w:vAlign w:val="center"/>
                  <w:hideMark/>
                </w:tcPr>
                <w:p w14:paraId="0C4883B1"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$38.7</w:t>
                  </w:r>
                </w:p>
              </w:tc>
              <w:tc>
                <w:tcPr>
                  <w:tcW w:w="1744" w:type="dxa"/>
                  <w:tcBorders>
                    <w:top w:val="nil"/>
                    <w:left w:val="nil"/>
                    <w:bottom w:val="nil"/>
                    <w:right w:val="nil"/>
                  </w:tcBorders>
                  <w:noWrap/>
                  <w:vAlign w:val="center"/>
                  <w:hideMark/>
                </w:tcPr>
                <w:p w14:paraId="54F0D2E0"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$2,897</w:t>
                  </w:r>
                </w:p>
              </w:tc>
            </w:tr>
            <w:tr w:rsidR="00C13730" w:rsidRPr="00C13730" w14:paraId="3310B29E" w14:textId="77777777" w:rsidTr="00C13730">
              <w:trPr>
                <w:trHeight w:val="300"/>
              </w:trPr>
              <w:tc>
                <w:tcPr>
                  <w:tcW w:w="712" w:type="dxa"/>
                  <w:tcBorders>
                    <w:top w:val="nil"/>
                    <w:left w:val="nil"/>
                    <w:bottom w:val="nil"/>
                    <w:right w:val="nil"/>
                  </w:tcBorders>
                  <w:noWrap/>
                  <w:vAlign w:val="center"/>
                  <w:hideMark/>
                </w:tcPr>
                <w:p w14:paraId="0837F910"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2020</w:t>
                  </w:r>
                </w:p>
              </w:tc>
              <w:tc>
                <w:tcPr>
                  <w:tcW w:w="1307" w:type="dxa"/>
                  <w:tcBorders>
                    <w:top w:val="nil"/>
                    <w:left w:val="nil"/>
                    <w:bottom w:val="nil"/>
                    <w:right w:val="nil"/>
                  </w:tcBorders>
                  <w:noWrap/>
                  <w:vAlign w:val="center"/>
                  <w:hideMark/>
                </w:tcPr>
                <w:p w14:paraId="665A8D2A"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$36.5</w:t>
                  </w:r>
                </w:p>
              </w:tc>
              <w:tc>
                <w:tcPr>
                  <w:tcW w:w="1744" w:type="dxa"/>
                  <w:tcBorders>
                    <w:top w:val="nil"/>
                    <w:left w:val="nil"/>
                    <w:bottom w:val="nil"/>
                    <w:right w:val="nil"/>
                  </w:tcBorders>
                  <w:noWrap/>
                  <w:vAlign w:val="center"/>
                  <w:hideMark/>
                </w:tcPr>
                <w:p w14:paraId="3AE6607F"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$2,711</w:t>
                  </w:r>
                </w:p>
              </w:tc>
            </w:tr>
            <w:tr w:rsidR="00C13730" w:rsidRPr="00C13730" w14:paraId="6C81CB27" w14:textId="77777777" w:rsidTr="00C13730">
              <w:trPr>
                <w:trHeight w:val="300"/>
              </w:trPr>
              <w:tc>
                <w:tcPr>
                  <w:tcW w:w="712" w:type="dxa"/>
                  <w:tcBorders>
                    <w:top w:val="nil"/>
                    <w:left w:val="nil"/>
                    <w:bottom w:val="nil"/>
                    <w:right w:val="nil"/>
                  </w:tcBorders>
                  <w:noWrap/>
                  <w:vAlign w:val="center"/>
                  <w:hideMark/>
                </w:tcPr>
                <w:p w14:paraId="22A12002"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2021</w:t>
                  </w:r>
                </w:p>
              </w:tc>
              <w:tc>
                <w:tcPr>
                  <w:tcW w:w="1307" w:type="dxa"/>
                  <w:tcBorders>
                    <w:top w:val="nil"/>
                    <w:left w:val="nil"/>
                    <w:bottom w:val="nil"/>
                    <w:right w:val="nil"/>
                  </w:tcBorders>
                  <w:noWrap/>
                  <w:vAlign w:val="center"/>
                  <w:hideMark/>
                </w:tcPr>
                <w:p w14:paraId="1A55A094"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$43.5</w:t>
                  </w:r>
                </w:p>
              </w:tc>
              <w:tc>
                <w:tcPr>
                  <w:tcW w:w="1744" w:type="dxa"/>
                  <w:tcBorders>
                    <w:top w:val="nil"/>
                    <w:left w:val="nil"/>
                    <w:bottom w:val="nil"/>
                    <w:right w:val="nil"/>
                  </w:tcBorders>
                  <w:noWrap/>
                  <w:vAlign w:val="center"/>
                  <w:hideMark/>
                </w:tcPr>
                <w:p w14:paraId="61FE1BEA"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$3,229</w:t>
                  </w:r>
                </w:p>
              </w:tc>
            </w:tr>
            <w:tr w:rsidR="00C13730" w:rsidRPr="00C13730" w14:paraId="510C17FC" w14:textId="77777777" w:rsidTr="00C13730">
              <w:trPr>
                <w:trHeight w:val="300"/>
              </w:trPr>
              <w:tc>
                <w:tcPr>
                  <w:tcW w:w="712" w:type="dxa"/>
                  <w:tcBorders>
                    <w:top w:val="nil"/>
                    <w:left w:val="nil"/>
                    <w:bottom w:val="nil"/>
                    <w:right w:val="nil"/>
                  </w:tcBorders>
                  <w:noWrap/>
                  <w:vAlign w:val="center"/>
                  <w:hideMark/>
                </w:tcPr>
                <w:p w14:paraId="4A5B8DA1"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2022</w:t>
                  </w:r>
                </w:p>
              </w:tc>
              <w:tc>
                <w:tcPr>
                  <w:tcW w:w="1307" w:type="dxa"/>
                  <w:tcBorders>
                    <w:top w:val="nil"/>
                    <w:left w:val="nil"/>
                    <w:bottom w:val="nil"/>
                    <w:right w:val="nil"/>
                  </w:tcBorders>
                  <w:noWrap/>
                  <w:vAlign w:val="center"/>
                  <w:hideMark/>
                </w:tcPr>
                <w:p w14:paraId="35553A12"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$53.5</w:t>
                  </w:r>
                </w:p>
              </w:tc>
              <w:tc>
                <w:tcPr>
                  <w:tcW w:w="1744" w:type="dxa"/>
                  <w:tcBorders>
                    <w:top w:val="nil"/>
                    <w:left w:val="nil"/>
                    <w:bottom w:val="nil"/>
                    <w:right w:val="nil"/>
                  </w:tcBorders>
                  <w:noWrap/>
                  <w:vAlign w:val="center"/>
                  <w:hideMark/>
                </w:tcPr>
                <w:p w14:paraId="21A1A38D"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$3,923</w:t>
                  </w:r>
                </w:p>
              </w:tc>
            </w:tr>
            <w:tr w:rsidR="00C13730" w:rsidRPr="00C13730" w14:paraId="7AC8D959" w14:textId="77777777" w:rsidTr="00C13730">
              <w:trPr>
                <w:trHeight w:val="300"/>
              </w:trPr>
              <w:tc>
                <w:tcPr>
                  <w:tcW w:w="712" w:type="dxa"/>
                  <w:tcBorders>
                    <w:top w:val="nil"/>
                    <w:left w:val="nil"/>
                    <w:bottom w:val="nil"/>
                    <w:right w:val="nil"/>
                  </w:tcBorders>
                  <w:noWrap/>
                  <w:vAlign w:val="center"/>
                  <w:hideMark/>
                </w:tcPr>
                <w:p w14:paraId="58010E7D"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2023</w:t>
                  </w:r>
                </w:p>
              </w:tc>
              <w:tc>
                <w:tcPr>
                  <w:tcW w:w="1307" w:type="dxa"/>
                  <w:tcBorders>
                    <w:top w:val="nil"/>
                    <w:left w:val="nil"/>
                    <w:bottom w:val="nil"/>
                    <w:right w:val="nil"/>
                  </w:tcBorders>
                  <w:noWrap/>
                  <w:vAlign w:val="center"/>
                  <w:hideMark/>
                </w:tcPr>
                <w:p w14:paraId="3B95B97C"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$57.2</w:t>
                  </w:r>
                </w:p>
              </w:tc>
              <w:tc>
                <w:tcPr>
                  <w:tcW w:w="1744" w:type="dxa"/>
                  <w:tcBorders>
                    <w:top w:val="nil"/>
                    <w:left w:val="nil"/>
                    <w:bottom w:val="nil"/>
                    <w:right w:val="nil"/>
                  </w:tcBorders>
                  <w:noWrap/>
                  <w:vAlign w:val="center"/>
                  <w:hideMark/>
                </w:tcPr>
                <w:p w14:paraId="79F9AF59"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$4,156</w:t>
                  </w:r>
                </w:p>
              </w:tc>
            </w:tr>
            <w:tr w:rsidR="00C13730" w:rsidRPr="00C13730" w14:paraId="5BCE1916" w14:textId="77777777" w:rsidTr="00C13730">
              <w:trPr>
                <w:trHeight w:val="300"/>
              </w:trPr>
              <w:tc>
                <w:tcPr>
                  <w:tcW w:w="712" w:type="dxa"/>
                  <w:tcBorders>
                    <w:top w:val="nil"/>
                    <w:left w:val="nil"/>
                    <w:bottom w:val="nil"/>
                    <w:right w:val="nil"/>
                  </w:tcBorders>
                  <w:noWrap/>
                  <w:vAlign w:val="center"/>
                  <w:hideMark/>
                </w:tcPr>
                <w:p w14:paraId="06471A74" w14:textId="77777777" w:rsidR="00C13730" w:rsidRPr="00C13730" w:rsidRDefault="00C13730" w:rsidP="00C13730">
                  <w:pPr>
                    <w:jc w:val="cente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2024</w:t>
                  </w:r>
                </w:p>
              </w:tc>
              <w:tc>
                <w:tcPr>
                  <w:tcW w:w="1307" w:type="dxa"/>
                  <w:tcBorders>
                    <w:top w:val="nil"/>
                    <w:left w:val="nil"/>
                    <w:bottom w:val="nil"/>
                    <w:right w:val="nil"/>
                  </w:tcBorders>
                  <w:noWrap/>
                  <w:vAlign w:val="center"/>
                  <w:hideMark/>
                </w:tcPr>
                <w:p w14:paraId="70CE9600"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$62.1</w:t>
                  </w:r>
                </w:p>
              </w:tc>
              <w:tc>
                <w:tcPr>
                  <w:tcW w:w="1744" w:type="dxa"/>
                  <w:tcBorders>
                    <w:top w:val="nil"/>
                    <w:left w:val="nil"/>
                    <w:bottom w:val="nil"/>
                    <w:right w:val="nil"/>
                  </w:tcBorders>
                  <w:noWrap/>
                  <w:vAlign w:val="center"/>
                  <w:hideMark/>
                </w:tcPr>
                <w:p w14:paraId="405D713D" w14:textId="77777777" w:rsidR="00C13730" w:rsidRPr="00C13730" w:rsidRDefault="00C13730" w:rsidP="00C13730">
                  <w:pPr>
                    <w:jc w:val="right"/>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$4,477</w:t>
                  </w:r>
                </w:p>
              </w:tc>
            </w:tr>
            <w:tr w:rsidR="00C13730" w:rsidRPr="00C13730" w14:paraId="38167312" w14:textId="77777777" w:rsidTr="00C13730">
              <w:trPr>
                <w:trHeight w:val="315"/>
              </w:trPr>
              <w:tc>
                <w:tcPr>
                  <w:tcW w:w="712" w:type="dxa"/>
                  <w:tcBorders>
                    <w:top w:val="nil"/>
                    <w:left w:val="nil"/>
                    <w:bottom w:val="single" w:sz="8" w:space="0" w:color="auto"/>
                    <w:right w:val="nil"/>
                  </w:tcBorders>
                  <w:noWrap/>
                  <w:vAlign w:val="center"/>
                  <w:hideMark/>
                </w:tcPr>
                <w:p w14:paraId="0CA5385D" w14:textId="77777777" w:rsidR="00C13730" w:rsidRPr="00C13730" w:rsidRDefault="00C13730" w:rsidP="00C13730">
                  <w:pPr>
                    <w:jc w:val="center"/>
                    <w:rPr>
                      <w:rFonts w:ascii="Calibri" w:eastAsia="Times New Roman" w:hAnsi="Calibri" w:cs="Calibri"/>
                      <w:b/>
                      <w:bCs/>
                      <w:color w:val="000000"/>
                      <w:kern w:val="0"/>
                      <w:sz w:val="20"/>
                      <w:szCs w:val="20"/>
                      <w14:ligatures w14:val="none"/>
                    </w:rPr>
                  </w:pPr>
                  <w:r w:rsidRPr="00C13730">
                    <w:rPr>
                      <w:rFonts w:ascii="Calibri" w:eastAsia="Times New Roman" w:hAnsi="Calibri" w:cs="Calibri"/>
                      <w:b/>
                      <w:bCs/>
                      <w:color w:val="000000"/>
                      <w:kern w:val="0"/>
                      <w:sz w:val="20"/>
                      <w:szCs w:val="20"/>
                      <w14:ligatures w14:val="none"/>
                    </w:rPr>
                    <w:t>Total</w:t>
                  </w:r>
                </w:p>
              </w:tc>
              <w:tc>
                <w:tcPr>
                  <w:tcW w:w="1307" w:type="dxa"/>
                  <w:tcBorders>
                    <w:top w:val="nil"/>
                    <w:left w:val="nil"/>
                    <w:bottom w:val="single" w:sz="8" w:space="0" w:color="auto"/>
                    <w:right w:val="nil"/>
                  </w:tcBorders>
                  <w:noWrap/>
                  <w:vAlign w:val="center"/>
                  <w:hideMark/>
                </w:tcPr>
                <w:p w14:paraId="396FF352" w14:textId="77777777" w:rsidR="00C13730" w:rsidRPr="00C13730" w:rsidRDefault="00C13730" w:rsidP="00C13730">
                  <w:pPr>
                    <w:jc w:val="right"/>
                    <w:rPr>
                      <w:rFonts w:ascii="Calibri" w:eastAsia="Times New Roman" w:hAnsi="Calibri" w:cs="Calibri"/>
                      <w:b/>
                      <w:bCs/>
                      <w:color w:val="000000"/>
                      <w:kern w:val="0"/>
                      <w:sz w:val="20"/>
                      <w:szCs w:val="20"/>
                      <w14:ligatures w14:val="none"/>
                    </w:rPr>
                  </w:pPr>
                  <w:r w:rsidRPr="00C13730">
                    <w:rPr>
                      <w:rFonts w:ascii="Calibri" w:eastAsia="Times New Roman" w:hAnsi="Calibri" w:cs="Calibri"/>
                      <w:b/>
                      <w:bCs/>
                      <w:color w:val="000000"/>
                      <w:kern w:val="0"/>
                      <w:sz w:val="20"/>
                      <w:szCs w:val="20"/>
                      <w14:ligatures w14:val="none"/>
                    </w:rPr>
                    <w:t>$492.6</w:t>
                  </w:r>
                </w:p>
              </w:tc>
              <w:tc>
                <w:tcPr>
                  <w:tcW w:w="1744" w:type="dxa"/>
                  <w:tcBorders>
                    <w:top w:val="nil"/>
                    <w:left w:val="nil"/>
                    <w:bottom w:val="single" w:sz="8" w:space="0" w:color="auto"/>
                    <w:right w:val="nil"/>
                  </w:tcBorders>
                  <w:noWrap/>
                  <w:vAlign w:val="center"/>
                  <w:hideMark/>
                </w:tcPr>
                <w:p w14:paraId="16D658B9" w14:textId="77777777" w:rsidR="00C13730" w:rsidRPr="00C13730" w:rsidRDefault="00C13730" w:rsidP="00C13730">
                  <w:pPr>
                    <w:rPr>
                      <w:rFonts w:ascii="Calibri" w:eastAsia="Times New Roman" w:hAnsi="Calibri" w:cs="Calibri"/>
                      <w:color w:val="000000"/>
                      <w:kern w:val="0"/>
                      <w:sz w:val="20"/>
                      <w:szCs w:val="20"/>
                      <w14:ligatures w14:val="none"/>
                    </w:rPr>
                  </w:pPr>
                  <w:r w:rsidRPr="00C13730">
                    <w:rPr>
                      <w:rFonts w:ascii="Calibri" w:eastAsia="Times New Roman" w:hAnsi="Calibri" w:cs="Calibri"/>
                      <w:color w:val="000000"/>
                      <w:kern w:val="0"/>
                      <w:sz w:val="20"/>
                      <w:szCs w:val="20"/>
                      <w14:ligatures w14:val="none"/>
                    </w:rPr>
                    <w:t> </w:t>
                  </w:r>
                </w:p>
              </w:tc>
            </w:tr>
          </w:tbl>
          <w:p w14:paraId="0CB39A20" w14:textId="77777777" w:rsidR="00C13730" w:rsidRDefault="00C13730" w:rsidP="00865855">
            <w:pPr>
              <w:rPr>
                <w:rFonts w:ascii="Calibri" w:eastAsia="Times New Roman" w:hAnsi="Calibri" w:cs="Calibri"/>
                <w:color w:val="000000"/>
                <w:kern w:val="0"/>
                <w14:ligatures w14:val="none"/>
              </w:rPr>
            </w:pPr>
          </w:p>
          <w:p w14:paraId="5A0A4235" w14:textId="2663F342" w:rsidR="00C13730" w:rsidRDefault="00C13730"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As indicated, the estimated cost of California’s emission reductions to date are nearly a half trillion dollars in higher energy costs.  Again to put this amount into the Air Board’s favored metric, while the emission reductions to date are equivalent to removing the annual emissions of 17.7 million (internal combustion engine) cars, the direct costs paid to achieve these reductions would have allowed Californians to buy 12.6 million (internal combustion and electric) cars and put them back on the roads.</w:t>
            </w:r>
          </w:p>
          <w:p w14:paraId="64FE5D7F" w14:textId="77777777" w:rsidR="009102BE" w:rsidRDefault="009102BE" w:rsidP="00865855">
            <w:pPr>
              <w:rPr>
                <w:rFonts w:ascii="Calibri" w:eastAsia="Times New Roman" w:hAnsi="Calibri" w:cs="Calibri"/>
                <w:color w:val="000000"/>
                <w:kern w:val="0"/>
                <w14:ligatures w14:val="none"/>
              </w:rPr>
            </w:pPr>
          </w:p>
          <w:p w14:paraId="2EF827A4" w14:textId="3A75F512" w:rsidR="009102BE" w:rsidRDefault="00157B9B"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Other claims in the recent press releases also only tell part of the story, notably:</w:t>
            </w:r>
          </w:p>
          <w:p w14:paraId="7546317A" w14:textId="77777777" w:rsidR="00157B9B" w:rsidRDefault="00157B9B" w:rsidP="00865855">
            <w:pPr>
              <w:rPr>
                <w:rFonts w:ascii="Calibri" w:eastAsia="Times New Roman" w:hAnsi="Calibri" w:cs="Calibri"/>
                <w:color w:val="000000"/>
                <w:kern w:val="0"/>
                <w14:ligatures w14:val="none"/>
              </w:rPr>
            </w:pPr>
          </w:p>
          <w:p w14:paraId="0CBA3286" w14:textId="15A50DE7" w:rsidR="00157B9B" w:rsidRPr="00AD38F7" w:rsidRDefault="00AD38F7" w:rsidP="00865855">
            <w:pPr>
              <w:rPr>
                <w:rFonts w:ascii="Calibri" w:eastAsia="Times New Roman" w:hAnsi="Calibri" w:cs="Calibri"/>
                <w:color w:val="000000"/>
                <w:kern w:val="0"/>
                <w:u w:val="single"/>
                <w14:ligatures w14:val="none"/>
              </w:rPr>
            </w:pPr>
            <w:r w:rsidRPr="00AD38F7">
              <w:rPr>
                <w:rFonts w:ascii="Calibri" w:eastAsia="Times New Roman" w:hAnsi="Calibri" w:cs="Calibri"/>
                <w:color w:val="000000"/>
                <w:kern w:val="0"/>
                <w:u w:val="single"/>
                <w14:ligatures w14:val="none"/>
              </w:rPr>
              <w:t>“</w:t>
            </w:r>
            <w:r w:rsidRPr="00AD38F7">
              <w:rPr>
                <w:rFonts w:ascii="Calibri" w:eastAsia="Times New Roman" w:hAnsi="Calibri" w:cs="Calibri"/>
                <w:color w:val="000000"/>
                <w:kern w:val="0"/>
                <w:u w:val="single"/>
                <w14:ligatures w14:val="none"/>
              </w:rPr>
              <w:t>While California’s emissions go down, its economy continues to expand.</w:t>
            </w:r>
            <w:r w:rsidRPr="00AD38F7">
              <w:rPr>
                <w:rFonts w:ascii="Calibri" w:eastAsia="Times New Roman" w:hAnsi="Calibri" w:cs="Calibri"/>
                <w:color w:val="000000"/>
                <w:kern w:val="0"/>
                <w:u w:val="single"/>
                <w14:ligatures w14:val="none"/>
              </w:rPr>
              <w:t>”</w:t>
            </w:r>
          </w:p>
          <w:p w14:paraId="0CEE8D07" w14:textId="77777777" w:rsidR="00AD38F7" w:rsidRDefault="00AD38F7" w:rsidP="00865855">
            <w:pPr>
              <w:rPr>
                <w:rFonts w:ascii="Calibri" w:eastAsia="Times New Roman" w:hAnsi="Calibri" w:cs="Calibri"/>
                <w:color w:val="000000"/>
                <w:kern w:val="0"/>
                <w14:ligatures w14:val="none"/>
              </w:rPr>
            </w:pPr>
          </w:p>
          <w:p w14:paraId="721484EF" w14:textId="22CB7A97" w:rsidR="00AD38F7" w:rsidRDefault="00AD38F7"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Using a more recent period to show the cumulative effect of these policies (2019-2025:Q2), </w:t>
            </w:r>
            <w:r w:rsidR="004900AE">
              <w:rPr>
                <w:rFonts w:ascii="Calibri" w:eastAsia="Times New Roman" w:hAnsi="Calibri" w:cs="Calibri"/>
                <w:color w:val="000000"/>
                <w:kern w:val="0"/>
                <w14:ligatures w14:val="none"/>
              </w:rPr>
              <w:t>California’s economy as measured by Real GDP has grown at a rate roughly the same as the US</w:t>
            </w:r>
            <w:r w:rsidR="00A16F03">
              <w:rPr>
                <w:rFonts w:ascii="Calibri" w:eastAsia="Times New Roman" w:hAnsi="Calibri" w:cs="Calibri"/>
                <w:color w:val="000000"/>
                <w:kern w:val="0"/>
                <w14:ligatures w14:val="none"/>
              </w:rPr>
              <w:t xml:space="preserve"> as</w:t>
            </w:r>
            <w:r w:rsidR="004900AE">
              <w:rPr>
                <w:rFonts w:ascii="Calibri" w:eastAsia="Times New Roman" w:hAnsi="Calibri" w:cs="Calibri"/>
                <w:color w:val="000000"/>
                <w:kern w:val="0"/>
                <w14:ligatures w14:val="none"/>
              </w:rPr>
              <w:t xml:space="preserve"> a whole, at 17.0% for California compared to 17.1% for the US.</w:t>
            </w:r>
          </w:p>
          <w:p w14:paraId="1891BE00" w14:textId="77777777" w:rsidR="0093504B" w:rsidRDefault="0093504B" w:rsidP="00865855">
            <w:pPr>
              <w:rPr>
                <w:rFonts w:ascii="Calibri" w:eastAsia="Times New Roman" w:hAnsi="Calibri" w:cs="Calibri"/>
                <w:color w:val="000000"/>
                <w:kern w:val="0"/>
                <w14:ligatures w14:val="none"/>
              </w:rPr>
            </w:pPr>
          </w:p>
          <w:tbl>
            <w:tblPr>
              <w:tblW w:w="7620" w:type="dxa"/>
              <w:tblLook w:val="04A0" w:firstRow="1" w:lastRow="0" w:firstColumn="1" w:lastColumn="0" w:noHBand="0" w:noVBand="1"/>
            </w:tblPr>
            <w:tblGrid>
              <w:gridCol w:w="6400"/>
              <w:gridCol w:w="714"/>
              <w:gridCol w:w="714"/>
            </w:tblGrid>
            <w:tr w:rsidR="0093504B" w:rsidRPr="0093504B" w14:paraId="57B894A9" w14:textId="77777777" w:rsidTr="0093504B">
              <w:trPr>
                <w:trHeight w:val="375"/>
              </w:trPr>
              <w:tc>
                <w:tcPr>
                  <w:tcW w:w="7620" w:type="dxa"/>
                  <w:gridSpan w:val="3"/>
                  <w:tcBorders>
                    <w:top w:val="nil"/>
                    <w:left w:val="nil"/>
                    <w:bottom w:val="nil"/>
                    <w:right w:val="nil"/>
                  </w:tcBorders>
                  <w:noWrap/>
                  <w:vAlign w:val="bottom"/>
                  <w:hideMark/>
                </w:tcPr>
                <w:p w14:paraId="52C7D80F" w14:textId="77777777" w:rsidR="0093504B" w:rsidRPr="0093504B" w:rsidRDefault="0093504B" w:rsidP="0093504B">
                  <w:pPr>
                    <w:rPr>
                      <w:rFonts w:ascii="Calibri" w:eastAsia="Times New Roman" w:hAnsi="Calibri" w:cs="Calibri"/>
                      <w:b/>
                      <w:bCs/>
                      <w:color w:val="000000"/>
                      <w:kern w:val="0"/>
                      <w14:ligatures w14:val="none"/>
                    </w:rPr>
                  </w:pPr>
                  <w:r w:rsidRPr="0093504B">
                    <w:rPr>
                      <w:rFonts w:ascii="Calibri" w:eastAsia="Times New Roman" w:hAnsi="Calibri" w:cs="Calibri"/>
                      <w:b/>
                      <w:bCs/>
                      <w:color w:val="000000"/>
                      <w:kern w:val="0"/>
                      <w14:ligatures w14:val="none"/>
                    </w:rPr>
                    <w:t>California Real GDP, 2019-2025:Q2</w:t>
                  </w:r>
                </w:p>
              </w:tc>
            </w:tr>
            <w:tr w:rsidR="0093504B" w:rsidRPr="0093504B" w14:paraId="370B575A" w14:textId="77777777" w:rsidTr="0093504B">
              <w:trPr>
                <w:trHeight w:val="225"/>
              </w:trPr>
              <w:tc>
                <w:tcPr>
                  <w:tcW w:w="7620" w:type="dxa"/>
                  <w:gridSpan w:val="3"/>
                  <w:tcBorders>
                    <w:top w:val="nil"/>
                    <w:left w:val="nil"/>
                    <w:bottom w:val="nil"/>
                    <w:right w:val="nil"/>
                  </w:tcBorders>
                  <w:noWrap/>
                  <w:vAlign w:val="bottom"/>
                  <w:hideMark/>
                </w:tcPr>
                <w:p w14:paraId="5F2C06BD" w14:textId="77777777" w:rsidR="0093504B" w:rsidRPr="0093504B" w:rsidRDefault="0093504B" w:rsidP="0093504B">
                  <w:pPr>
                    <w:rPr>
                      <w:rFonts w:ascii="Calibri" w:eastAsia="Times New Roman" w:hAnsi="Calibri" w:cs="Calibri"/>
                      <w:i/>
                      <w:iCs/>
                      <w:color w:val="000000"/>
                      <w:kern w:val="0"/>
                      <w:sz w:val="16"/>
                      <w:szCs w:val="16"/>
                      <w14:ligatures w14:val="none"/>
                    </w:rPr>
                  </w:pPr>
                  <w:r w:rsidRPr="0093504B">
                    <w:rPr>
                      <w:rFonts w:ascii="Calibri" w:eastAsia="Times New Roman" w:hAnsi="Calibri" w:cs="Calibri"/>
                      <w:i/>
                      <w:iCs/>
                      <w:color w:val="000000"/>
                      <w:kern w:val="0"/>
                      <w:sz w:val="16"/>
                      <w:szCs w:val="16"/>
                      <w14:ligatures w14:val="none"/>
                    </w:rPr>
                    <w:t>Source:  US Bureau of Economic Analysis</w:t>
                  </w:r>
                </w:p>
              </w:tc>
            </w:tr>
            <w:tr w:rsidR="0093504B" w:rsidRPr="0093504B" w14:paraId="5D81BBF7" w14:textId="77777777" w:rsidTr="0093504B">
              <w:trPr>
                <w:trHeight w:val="165"/>
              </w:trPr>
              <w:tc>
                <w:tcPr>
                  <w:tcW w:w="7620" w:type="dxa"/>
                  <w:gridSpan w:val="3"/>
                  <w:tcBorders>
                    <w:top w:val="nil"/>
                    <w:left w:val="nil"/>
                    <w:bottom w:val="single" w:sz="8" w:space="0" w:color="auto"/>
                    <w:right w:val="nil"/>
                  </w:tcBorders>
                  <w:noWrap/>
                  <w:vAlign w:val="bottom"/>
                  <w:hideMark/>
                </w:tcPr>
                <w:p w14:paraId="4922F79A" w14:textId="77777777" w:rsidR="0093504B" w:rsidRPr="0093504B" w:rsidRDefault="0093504B" w:rsidP="0093504B">
                  <w:pPr>
                    <w:jc w:val="center"/>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 </w:t>
                  </w:r>
                </w:p>
              </w:tc>
            </w:tr>
            <w:tr w:rsidR="0093504B" w:rsidRPr="0093504B" w14:paraId="188F5843" w14:textId="77777777" w:rsidTr="0093504B">
              <w:trPr>
                <w:trHeight w:val="315"/>
              </w:trPr>
              <w:tc>
                <w:tcPr>
                  <w:tcW w:w="6400" w:type="dxa"/>
                  <w:tcBorders>
                    <w:top w:val="nil"/>
                    <w:left w:val="nil"/>
                    <w:bottom w:val="single" w:sz="8" w:space="0" w:color="auto"/>
                    <w:right w:val="nil"/>
                  </w:tcBorders>
                  <w:noWrap/>
                  <w:vAlign w:val="bottom"/>
                  <w:hideMark/>
                </w:tcPr>
                <w:p w14:paraId="5514D795" w14:textId="77777777" w:rsidR="0093504B" w:rsidRPr="0093504B" w:rsidRDefault="0093504B" w:rsidP="0093504B">
                  <w:pPr>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 </w:t>
                  </w:r>
                </w:p>
              </w:tc>
              <w:tc>
                <w:tcPr>
                  <w:tcW w:w="610" w:type="dxa"/>
                  <w:tcBorders>
                    <w:top w:val="nil"/>
                    <w:left w:val="nil"/>
                    <w:bottom w:val="single" w:sz="8" w:space="0" w:color="auto"/>
                    <w:right w:val="nil"/>
                  </w:tcBorders>
                  <w:noWrap/>
                  <w:vAlign w:val="bottom"/>
                  <w:hideMark/>
                </w:tcPr>
                <w:p w14:paraId="1B9F5BB4" w14:textId="77777777" w:rsidR="0093504B" w:rsidRPr="0093504B" w:rsidRDefault="0093504B" w:rsidP="0093504B">
                  <w:pPr>
                    <w:jc w:val="center"/>
                    <w:rPr>
                      <w:rFonts w:ascii="Calibri" w:eastAsia="Times New Roman" w:hAnsi="Calibri" w:cs="Calibri"/>
                      <w:b/>
                      <w:bCs/>
                      <w:color w:val="000000"/>
                      <w:kern w:val="0"/>
                      <w:sz w:val="20"/>
                      <w:szCs w:val="20"/>
                      <w14:ligatures w14:val="none"/>
                    </w:rPr>
                  </w:pPr>
                  <w:r w:rsidRPr="0093504B">
                    <w:rPr>
                      <w:rFonts w:ascii="Calibri" w:eastAsia="Times New Roman" w:hAnsi="Calibri" w:cs="Calibri"/>
                      <w:b/>
                      <w:bCs/>
                      <w:color w:val="000000"/>
                      <w:kern w:val="0"/>
                      <w:sz w:val="20"/>
                      <w:szCs w:val="20"/>
                      <w14:ligatures w14:val="none"/>
                    </w:rPr>
                    <w:t>CA</w:t>
                  </w:r>
                </w:p>
              </w:tc>
              <w:tc>
                <w:tcPr>
                  <w:tcW w:w="610" w:type="dxa"/>
                  <w:tcBorders>
                    <w:top w:val="nil"/>
                    <w:left w:val="nil"/>
                    <w:bottom w:val="single" w:sz="8" w:space="0" w:color="auto"/>
                    <w:right w:val="nil"/>
                  </w:tcBorders>
                  <w:noWrap/>
                  <w:vAlign w:val="bottom"/>
                  <w:hideMark/>
                </w:tcPr>
                <w:p w14:paraId="4B8DC36F" w14:textId="77777777" w:rsidR="0093504B" w:rsidRPr="0093504B" w:rsidRDefault="0093504B" w:rsidP="0093504B">
                  <w:pPr>
                    <w:jc w:val="center"/>
                    <w:rPr>
                      <w:rFonts w:ascii="Calibri" w:eastAsia="Times New Roman" w:hAnsi="Calibri" w:cs="Calibri"/>
                      <w:b/>
                      <w:bCs/>
                      <w:color w:val="000000"/>
                      <w:kern w:val="0"/>
                      <w:sz w:val="20"/>
                      <w:szCs w:val="20"/>
                      <w14:ligatures w14:val="none"/>
                    </w:rPr>
                  </w:pPr>
                  <w:r w:rsidRPr="0093504B">
                    <w:rPr>
                      <w:rFonts w:ascii="Calibri" w:eastAsia="Times New Roman" w:hAnsi="Calibri" w:cs="Calibri"/>
                      <w:b/>
                      <w:bCs/>
                      <w:color w:val="000000"/>
                      <w:kern w:val="0"/>
                      <w:sz w:val="20"/>
                      <w:szCs w:val="20"/>
                      <w14:ligatures w14:val="none"/>
                    </w:rPr>
                    <w:t>US</w:t>
                  </w:r>
                </w:p>
              </w:tc>
            </w:tr>
            <w:tr w:rsidR="0093504B" w:rsidRPr="0093504B" w14:paraId="04C64F15" w14:textId="77777777" w:rsidTr="0093504B">
              <w:trPr>
                <w:trHeight w:val="300"/>
              </w:trPr>
              <w:tc>
                <w:tcPr>
                  <w:tcW w:w="6400" w:type="dxa"/>
                  <w:tcBorders>
                    <w:top w:val="nil"/>
                    <w:left w:val="nil"/>
                    <w:bottom w:val="nil"/>
                    <w:right w:val="nil"/>
                  </w:tcBorders>
                  <w:noWrap/>
                  <w:vAlign w:val="bottom"/>
                  <w:hideMark/>
                </w:tcPr>
                <w:p w14:paraId="4E39BB23" w14:textId="77777777" w:rsidR="0093504B" w:rsidRPr="0093504B" w:rsidRDefault="0093504B" w:rsidP="0093504B">
                  <w:pPr>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Real GDP, Total</w:t>
                  </w:r>
                </w:p>
              </w:tc>
              <w:tc>
                <w:tcPr>
                  <w:tcW w:w="610" w:type="dxa"/>
                  <w:tcBorders>
                    <w:top w:val="nil"/>
                    <w:left w:val="nil"/>
                    <w:bottom w:val="nil"/>
                    <w:right w:val="nil"/>
                  </w:tcBorders>
                  <w:noWrap/>
                  <w:vAlign w:val="bottom"/>
                  <w:hideMark/>
                </w:tcPr>
                <w:p w14:paraId="17CCFB6B"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17.0%</w:t>
                  </w:r>
                </w:p>
              </w:tc>
              <w:tc>
                <w:tcPr>
                  <w:tcW w:w="610" w:type="dxa"/>
                  <w:tcBorders>
                    <w:top w:val="nil"/>
                    <w:left w:val="nil"/>
                    <w:bottom w:val="nil"/>
                    <w:right w:val="nil"/>
                  </w:tcBorders>
                  <w:noWrap/>
                  <w:vAlign w:val="bottom"/>
                  <w:hideMark/>
                </w:tcPr>
                <w:p w14:paraId="2DD5F936"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17.1%</w:t>
                  </w:r>
                </w:p>
              </w:tc>
            </w:tr>
            <w:tr w:rsidR="0093504B" w:rsidRPr="0093504B" w14:paraId="46A08C17" w14:textId="77777777" w:rsidTr="0093504B">
              <w:trPr>
                <w:trHeight w:val="300"/>
              </w:trPr>
              <w:tc>
                <w:tcPr>
                  <w:tcW w:w="6400" w:type="dxa"/>
                  <w:tcBorders>
                    <w:top w:val="nil"/>
                    <w:left w:val="nil"/>
                    <w:bottom w:val="nil"/>
                    <w:right w:val="nil"/>
                  </w:tcBorders>
                  <w:noWrap/>
                  <w:vAlign w:val="bottom"/>
                  <w:hideMark/>
                </w:tcPr>
                <w:p w14:paraId="46D49086" w14:textId="77777777" w:rsidR="0093504B" w:rsidRPr="0093504B" w:rsidRDefault="0093504B" w:rsidP="0093504B">
                  <w:pPr>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Above ex Information &amp; Professional, Scientific &amp; Technical Services</w:t>
                  </w:r>
                </w:p>
              </w:tc>
              <w:tc>
                <w:tcPr>
                  <w:tcW w:w="610" w:type="dxa"/>
                  <w:tcBorders>
                    <w:top w:val="nil"/>
                    <w:left w:val="nil"/>
                    <w:bottom w:val="nil"/>
                    <w:right w:val="nil"/>
                  </w:tcBorders>
                  <w:noWrap/>
                  <w:vAlign w:val="bottom"/>
                  <w:hideMark/>
                </w:tcPr>
                <w:p w14:paraId="63B951D9"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6.0%</w:t>
                  </w:r>
                </w:p>
              </w:tc>
              <w:tc>
                <w:tcPr>
                  <w:tcW w:w="610" w:type="dxa"/>
                  <w:tcBorders>
                    <w:top w:val="nil"/>
                    <w:left w:val="nil"/>
                    <w:bottom w:val="nil"/>
                    <w:right w:val="nil"/>
                  </w:tcBorders>
                  <w:noWrap/>
                  <w:vAlign w:val="bottom"/>
                  <w:hideMark/>
                </w:tcPr>
                <w:p w14:paraId="5785E49F"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11.6%</w:t>
                  </w:r>
                </w:p>
              </w:tc>
            </w:tr>
            <w:tr w:rsidR="0093504B" w:rsidRPr="0093504B" w14:paraId="6DB8DB15" w14:textId="77777777" w:rsidTr="0093504B">
              <w:trPr>
                <w:trHeight w:val="315"/>
              </w:trPr>
              <w:tc>
                <w:tcPr>
                  <w:tcW w:w="6400" w:type="dxa"/>
                  <w:tcBorders>
                    <w:top w:val="nil"/>
                    <w:left w:val="nil"/>
                    <w:bottom w:val="single" w:sz="8" w:space="0" w:color="auto"/>
                    <w:right w:val="nil"/>
                  </w:tcBorders>
                  <w:noWrap/>
                  <w:vAlign w:val="bottom"/>
                  <w:hideMark/>
                </w:tcPr>
                <w:p w14:paraId="182B3084" w14:textId="77777777" w:rsidR="0093504B" w:rsidRPr="0093504B" w:rsidRDefault="0093504B" w:rsidP="0093504B">
                  <w:pPr>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Above ex Government and Healthcare &amp; Social Services</w:t>
                  </w:r>
                </w:p>
              </w:tc>
              <w:tc>
                <w:tcPr>
                  <w:tcW w:w="610" w:type="dxa"/>
                  <w:tcBorders>
                    <w:top w:val="nil"/>
                    <w:left w:val="nil"/>
                    <w:bottom w:val="single" w:sz="8" w:space="0" w:color="auto"/>
                    <w:right w:val="nil"/>
                  </w:tcBorders>
                  <w:noWrap/>
                  <w:vAlign w:val="bottom"/>
                  <w:hideMark/>
                </w:tcPr>
                <w:p w14:paraId="4BF0E97B"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3.3%</w:t>
                  </w:r>
                </w:p>
              </w:tc>
              <w:tc>
                <w:tcPr>
                  <w:tcW w:w="610" w:type="dxa"/>
                  <w:tcBorders>
                    <w:top w:val="nil"/>
                    <w:left w:val="nil"/>
                    <w:bottom w:val="single" w:sz="8" w:space="0" w:color="auto"/>
                    <w:right w:val="nil"/>
                  </w:tcBorders>
                  <w:noWrap/>
                  <w:vAlign w:val="bottom"/>
                  <w:hideMark/>
                </w:tcPr>
                <w:p w14:paraId="7439EFFE" w14:textId="77777777" w:rsidR="0093504B" w:rsidRPr="0093504B" w:rsidRDefault="0093504B" w:rsidP="0093504B">
                  <w:pPr>
                    <w:jc w:val="right"/>
                    <w:rPr>
                      <w:rFonts w:ascii="Calibri" w:eastAsia="Times New Roman" w:hAnsi="Calibri" w:cs="Calibri"/>
                      <w:color w:val="000000"/>
                      <w:kern w:val="0"/>
                      <w:sz w:val="20"/>
                      <w:szCs w:val="20"/>
                      <w14:ligatures w14:val="none"/>
                    </w:rPr>
                  </w:pPr>
                  <w:r w:rsidRPr="0093504B">
                    <w:rPr>
                      <w:rFonts w:ascii="Calibri" w:eastAsia="Times New Roman" w:hAnsi="Calibri" w:cs="Calibri"/>
                      <w:color w:val="000000"/>
                      <w:kern w:val="0"/>
                      <w:sz w:val="20"/>
                      <w:szCs w:val="20"/>
                      <w14:ligatures w14:val="none"/>
                    </w:rPr>
                    <w:t>11.3%</w:t>
                  </w:r>
                </w:p>
              </w:tc>
            </w:tr>
          </w:tbl>
          <w:p w14:paraId="78A8F2FB" w14:textId="77777777" w:rsidR="0093504B" w:rsidRDefault="0093504B" w:rsidP="00865855">
            <w:pPr>
              <w:rPr>
                <w:rFonts w:ascii="Calibri" w:eastAsia="Times New Roman" w:hAnsi="Calibri" w:cs="Calibri"/>
                <w:color w:val="000000"/>
                <w:kern w:val="0"/>
                <w14:ligatures w14:val="none"/>
              </w:rPr>
            </w:pPr>
          </w:p>
          <w:p w14:paraId="11ECD790" w14:textId="77777777" w:rsidR="004900AE" w:rsidRDefault="004900AE" w:rsidP="00865855">
            <w:pPr>
              <w:rPr>
                <w:rFonts w:ascii="Calibri" w:eastAsia="Times New Roman" w:hAnsi="Calibri" w:cs="Calibri"/>
                <w:color w:val="000000"/>
                <w:kern w:val="0"/>
                <w14:ligatures w14:val="none"/>
              </w:rPr>
            </w:pPr>
          </w:p>
          <w:p w14:paraId="530F1374" w14:textId="05A79A0C" w:rsidR="004900AE" w:rsidRDefault="004900AE"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As we have indicated previously, however, California’s GDP and its state revenue base are dependent to a far greater extent on its status as a center for High Tech.  These businesses in turn, at least the portion that operates within California, </w:t>
            </w:r>
            <w:r w:rsidR="00A16F03">
              <w:rPr>
                <w:rFonts w:ascii="Calibri" w:eastAsia="Times New Roman" w:hAnsi="Calibri" w:cs="Calibri"/>
                <w:color w:val="000000"/>
                <w:kern w:val="0"/>
                <w14:ligatures w14:val="none"/>
              </w:rPr>
              <w:t>are</w:t>
            </w:r>
            <w:r>
              <w:rPr>
                <w:rFonts w:ascii="Calibri" w:eastAsia="Times New Roman" w:hAnsi="Calibri" w:cs="Calibri"/>
                <w:color w:val="000000"/>
                <w:kern w:val="0"/>
                <w14:ligatures w14:val="none"/>
              </w:rPr>
              <w:t xml:space="preserve"> also far less affected by the state’s climate change regulations compared to </w:t>
            </w:r>
            <w:r w:rsidR="00E85536">
              <w:rPr>
                <w:rFonts w:ascii="Calibri" w:eastAsia="Times New Roman" w:hAnsi="Calibri" w:cs="Calibri"/>
                <w:color w:val="000000"/>
                <w:kern w:val="0"/>
                <w14:ligatures w14:val="none"/>
              </w:rPr>
              <w:t xml:space="preserve">its other traditional industries.  Putting aside the two High Tech containing industries (Information and Professional, Scientific &amp; Technical Services), the </w:t>
            </w:r>
            <w:r w:rsidR="00A16F03">
              <w:rPr>
                <w:rFonts w:ascii="Calibri" w:eastAsia="Times New Roman" w:hAnsi="Calibri" w:cs="Calibri"/>
                <w:color w:val="000000"/>
                <w:kern w:val="0"/>
                <w14:ligatures w14:val="none"/>
              </w:rPr>
              <w:t>rest of</w:t>
            </w:r>
            <w:r w:rsidR="00E85536">
              <w:rPr>
                <w:rFonts w:ascii="Calibri" w:eastAsia="Times New Roman" w:hAnsi="Calibri" w:cs="Calibri"/>
                <w:color w:val="000000"/>
                <w:kern w:val="0"/>
                <w14:ligatures w14:val="none"/>
              </w:rPr>
              <w:t xml:space="preserve"> the state’s economy grew only 6.0%, or roughly half of the 11.6% gain for the US as a whole.</w:t>
            </w:r>
          </w:p>
          <w:p w14:paraId="0A5C59DC" w14:textId="77777777" w:rsidR="00E85536" w:rsidRDefault="00E85536" w:rsidP="00865855">
            <w:pPr>
              <w:rPr>
                <w:rFonts w:ascii="Calibri" w:eastAsia="Times New Roman" w:hAnsi="Calibri" w:cs="Calibri"/>
                <w:color w:val="000000"/>
                <w:kern w:val="0"/>
                <w14:ligatures w14:val="none"/>
              </w:rPr>
            </w:pPr>
          </w:p>
          <w:p w14:paraId="772FB309" w14:textId="5C6B9A5C" w:rsidR="00E85536" w:rsidRDefault="00E85536"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But there’s more.  Rather than growing, California’s jobs have essentially been stagnant over the past two years.  What job growth there has been has come only from Government and government-supported Healthcare &amp; Social Services.  </w:t>
            </w:r>
            <w:r w:rsidR="00A16F03">
              <w:rPr>
                <w:rFonts w:ascii="Calibri" w:eastAsia="Times New Roman" w:hAnsi="Calibri" w:cs="Calibri"/>
                <w:color w:val="000000"/>
                <w:kern w:val="0"/>
                <w14:ligatures w14:val="none"/>
              </w:rPr>
              <w:t xml:space="preserve">All other private industries as a whole instead have cut the number of jobs in the state.  </w:t>
            </w:r>
            <w:r>
              <w:rPr>
                <w:rFonts w:ascii="Calibri" w:eastAsia="Times New Roman" w:hAnsi="Calibri" w:cs="Calibri"/>
                <w:color w:val="000000"/>
                <w:kern w:val="0"/>
                <w14:ligatures w14:val="none"/>
              </w:rPr>
              <w:t xml:space="preserve">Putting these two industries aside as well, the bulk of the state’s </w:t>
            </w:r>
            <w:r>
              <w:rPr>
                <w:rFonts w:ascii="Calibri" w:eastAsia="Times New Roman" w:hAnsi="Calibri" w:cs="Calibri"/>
                <w:color w:val="000000"/>
                <w:kern w:val="0"/>
                <w14:ligatures w14:val="none"/>
              </w:rPr>
              <w:lastRenderedPageBreak/>
              <w:t xml:space="preserve">economy that is the most affected by the regulations </w:t>
            </w:r>
            <w:r w:rsidR="00A16F03">
              <w:rPr>
                <w:rFonts w:ascii="Calibri" w:eastAsia="Times New Roman" w:hAnsi="Calibri" w:cs="Calibri"/>
                <w:color w:val="000000"/>
                <w:kern w:val="0"/>
                <w14:ligatures w14:val="none"/>
              </w:rPr>
              <w:t>was essentially stagnant, growing only 3.3% (0.7% annually) compared to 11.3% for the US overall.</w:t>
            </w:r>
          </w:p>
          <w:p w14:paraId="4AC5284E" w14:textId="77777777" w:rsidR="00A16F03" w:rsidRDefault="00A16F03" w:rsidP="00865855">
            <w:pPr>
              <w:rPr>
                <w:rFonts w:ascii="Calibri" w:eastAsia="Times New Roman" w:hAnsi="Calibri" w:cs="Calibri"/>
                <w:color w:val="000000"/>
                <w:kern w:val="0"/>
                <w14:ligatures w14:val="none"/>
              </w:rPr>
            </w:pPr>
          </w:p>
          <w:p w14:paraId="307834EC" w14:textId="43330D46" w:rsidR="00A16F03" w:rsidRDefault="00A16F03"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California’s economy has grown in spite of its regulations because its economy depends to an extraordinary extent on businesses that are not affected by those regulations</w:t>
            </w:r>
            <w:r w:rsidR="0093504B">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Those that are instead are now expanding elsewhere in the US.  </w:t>
            </w:r>
            <w:r w:rsidR="00EF13AC">
              <w:rPr>
                <w:rFonts w:ascii="Calibri" w:eastAsia="Times New Roman" w:hAnsi="Calibri" w:cs="Calibri"/>
                <w:color w:val="000000"/>
                <w:kern w:val="0"/>
                <w14:ligatures w14:val="none"/>
              </w:rPr>
              <w:t>As California’s emissions have gone down, so has the contribution from the broader swath of industries that historically have supported middle class wage jobs in our state.</w:t>
            </w:r>
          </w:p>
          <w:p w14:paraId="38117428" w14:textId="77777777" w:rsidR="00EF13AC" w:rsidRDefault="00EF13AC" w:rsidP="00865855">
            <w:pPr>
              <w:rPr>
                <w:rFonts w:ascii="Calibri" w:eastAsia="Times New Roman" w:hAnsi="Calibri" w:cs="Calibri"/>
                <w:color w:val="000000"/>
                <w:kern w:val="0"/>
                <w14:ligatures w14:val="none"/>
              </w:rPr>
            </w:pPr>
          </w:p>
          <w:p w14:paraId="30280806" w14:textId="458671D7" w:rsidR="00EF13AC" w:rsidRPr="0093504B" w:rsidRDefault="0093504B" w:rsidP="00865855">
            <w:pPr>
              <w:rPr>
                <w:rFonts w:ascii="Calibri" w:eastAsia="Times New Roman" w:hAnsi="Calibri" w:cs="Calibri"/>
                <w:color w:val="000000"/>
                <w:kern w:val="0"/>
                <w:u w:val="single"/>
                <w14:ligatures w14:val="none"/>
              </w:rPr>
            </w:pPr>
            <w:r w:rsidRPr="0093504B">
              <w:rPr>
                <w:rFonts w:ascii="Calibri" w:eastAsia="Times New Roman" w:hAnsi="Calibri" w:cs="Calibri"/>
                <w:color w:val="000000"/>
                <w:kern w:val="0"/>
                <w:u w:val="single"/>
                <w14:ligatures w14:val="none"/>
              </w:rPr>
              <w:t>“</w:t>
            </w:r>
            <w:r w:rsidRPr="0093504B">
              <w:rPr>
                <w:rFonts w:ascii="Calibri" w:eastAsia="Times New Roman" w:hAnsi="Calibri" w:cs="Calibri"/>
                <w:color w:val="000000"/>
                <w:kern w:val="0"/>
                <w:u w:val="single"/>
                <w14:ligatures w14:val="none"/>
              </w:rPr>
              <w:t>Over the total period since 2000, greenhouse gas emissions in California went down by 21%</w:t>
            </w:r>
            <w:r w:rsidRPr="0093504B">
              <w:rPr>
                <w:rFonts w:ascii="Calibri" w:eastAsia="Times New Roman" w:hAnsi="Calibri" w:cs="Calibri"/>
                <w:color w:val="000000"/>
                <w:kern w:val="0"/>
                <w:u w:val="single"/>
                <w14:ligatures w14:val="none"/>
              </w:rPr>
              <w:t>”</w:t>
            </w:r>
          </w:p>
          <w:p w14:paraId="528AF5D3" w14:textId="77777777" w:rsidR="00A16F03" w:rsidRDefault="00A16F03" w:rsidP="00865855">
            <w:pPr>
              <w:rPr>
                <w:rFonts w:ascii="Calibri" w:eastAsia="Times New Roman" w:hAnsi="Calibri" w:cs="Calibri"/>
                <w:color w:val="000000"/>
                <w:kern w:val="0"/>
                <w14:ligatures w14:val="none"/>
              </w:rPr>
            </w:pPr>
          </w:p>
          <w:p w14:paraId="1265FF01" w14:textId="77777777" w:rsidR="00B03B88" w:rsidRDefault="0093504B"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correct statement is that measured emissions went down by this much, accounting for emissions generated in the state or through imported electricity consumed in the state.  The High Tech industry behind the state’s growth in this period, however, generated relatively few emissions within the state, but </w:t>
            </w:r>
            <w:r w:rsidR="00D500BC">
              <w:rPr>
                <w:rFonts w:ascii="Calibri" w:eastAsia="Times New Roman" w:hAnsi="Calibri" w:cs="Calibri"/>
                <w:color w:val="000000"/>
                <w:kern w:val="0"/>
                <w14:ligatures w14:val="none"/>
              </w:rPr>
              <w:t xml:space="preserve">instead exported that portion of their footprint to other states and other regions.  </w:t>
            </w:r>
          </w:p>
          <w:p w14:paraId="5AE9CD4C" w14:textId="77777777" w:rsidR="00B03B88" w:rsidRDefault="00B03B88" w:rsidP="00865855">
            <w:pPr>
              <w:rPr>
                <w:rFonts w:ascii="Calibri" w:eastAsia="Times New Roman" w:hAnsi="Calibri" w:cs="Calibri"/>
                <w:color w:val="000000"/>
                <w:kern w:val="0"/>
                <w14:ligatures w14:val="none"/>
              </w:rPr>
            </w:pPr>
          </w:p>
          <w:p w14:paraId="7F019322" w14:textId="77777777" w:rsidR="00B03B88" w:rsidRDefault="00D500BC"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Apple, for example, generates substantial emissions in its manufacturing and product transportation arrangements, but those activities are largely in other countries and in other countries largely dependent on coal.  </w:t>
            </w:r>
          </w:p>
          <w:p w14:paraId="2DD78A0B" w14:textId="77777777" w:rsidR="00B03B88" w:rsidRDefault="00B03B88" w:rsidP="00865855">
            <w:pPr>
              <w:rPr>
                <w:rFonts w:ascii="Calibri" w:eastAsia="Times New Roman" w:hAnsi="Calibri" w:cs="Calibri"/>
                <w:color w:val="000000"/>
                <w:kern w:val="0"/>
                <w14:ligatures w14:val="none"/>
              </w:rPr>
            </w:pPr>
          </w:p>
          <w:p w14:paraId="47996B59" w14:textId="51973DB3" w:rsidR="00A16F03" w:rsidRDefault="00D500BC" w:rsidP="0086585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High Tech in general is shifting quickly to a focus on AI, a move that is generating a sharp spike in electricity demand for new data centers.  As discussed above, those centers are largely bypassing California due to its high energy costs, reliability issues, and lengthy permit processes. Those jobs and local tax base instead are moving to other states, substantially increasing emissions in those locations both due to overall energy demand as well as the relatively</w:t>
            </w:r>
            <w:r w:rsidR="00B03B88">
              <w:rPr>
                <w:rFonts w:ascii="Calibri" w:eastAsia="Times New Roman" w:hAnsi="Calibri" w:cs="Calibri"/>
                <w:color w:val="000000"/>
                <w:kern w:val="0"/>
                <w14:ligatures w14:val="none"/>
              </w:rPr>
              <w:t xml:space="preserve"> higher</w:t>
            </w:r>
            <w:r>
              <w:rPr>
                <w:rFonts w:ascii="Calibri" w:eastAsia="Times New Roman" w:hAnsi="Calibri" w:cs="Calibri"/>
                <w:color w:val="000000"/>
                <w:kern w:val="0"/>
                <w14:ligatures w14:val="none"/>
              </w:rPr>
              <w:t xml:space="preserve"> GHG profiles of local electricity generation.</w:t>
            </w:r>
          </w:p>
          <w:p w14:paraId="293F7FB9" w14:textId="77777777" w:rsidR="00D500BC" w:rsidRDefault="00D500BC" w:rsidP="00865855">
            <w:pPr>
              <w:rPr>
                <w:rFonts w:ascii="Calibri" w:eastAsia="Times New Roman" w:hAnsi="Calibri" w:cs="Calibri"/>
                <w:color w:val="000000"/>
                <w:kern w:val="0"/>
                <w14:ligatures w14:val="none"/>
              </w:rPr>
            </w:pPr>
          </w:p>
          <w:p w14:paraId="031C4772" w14:textId="0A7137A8" w:rsidR="0024060E" w:rsidRDefault="0024060E" w:rsidP="0024060E">
            <w:pPr>
              <w:jc w:val="center"/>
              <w:rPr>
                <w:rFonts w:ascii="Calibri" w:eastAsia="Times New Roman" w:hAnsi="Calibri" w:cs="Calibri"/>
                <w:b/>
                <w:bCs/>
                <w:color w:val="000000"/>
                <w:kern w:val="0"/>
                <w14:ligatures w14:val="none"/>
              </w:rPr>
            </w:pPr>
            <w:r>
              <w:rPr>
                <w:noProof/>
              </w:rPr>
              <w:drawing>
                <wp:inline distT="0" distB="0" distL="0" distR="0" wp14:anchorId="3470D404" wp14:editId="24903777">
                  <wp:extent cx="4002604" cy="2248044"/>
                  <wp:effectExtent l="0" t="0" r="0" b="0"/>
                  <wp:docPr id="995666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66963" name=""/>
                          <pic:cNvPicPr/>
                        </pic:nvPicPr>
                        <pic:blipFill>
                          <a:blip r:embed="rId17"/>
                          <a:stretch>
                            <a:fillRect/>
                          </a:stretch>
                        </pic:blipFill>
                        <pic:spPr>
                          <a:xfrm>
                            <a:off x="0" y="0"/>
                            <a:ext cx="4028683" cy="2262691"/>
                          </a:xfrm>
                          <a:prstGeom prst="rect">
                            <a:avLst/>
                          </a:prstGeom>
                        </pic:spPr>
                      </pic:pic>
                    </a:graphicData>
                  </a:graphic>
                </wp:inline>
              </w:drawing>
            </w:r>
          </w:p>
          <w:p w14:paraId="1298150C" w14:textId="15827286" w:rsidR="0024060E" w:rsidRPr="0024060E" w:rsidRDefault="0024060E" w:rsidP="0024060E">
            <w:pPr>
              <w:jc w:val="center"/>
              <w:rPr>
                <w:rFonts w:ascii="Calibri" w:eastAsia="Times New Roman" w:hAnsi="Calibri" w:cs="Calibri"/>
                <w:color w:val="000000"/>
                <w:kern w:val="0"/>
                <w:sz w:val="20"/>
                <w:szCs w:val="20"/>
                <w14:ligatures w14:val="none"/>
              </w:rPr>
            </w:pPr>
            <w:r w:rsidRPr="0024060E">
              <w:rPr>
                <w:rFonts w:ascii="Calibri" w:eastAsia="Times New Roman" w:hAnsi="Calibri" w:cs="Calibri"/>
                <w:b/>
                <w:bCs/>
                <w:color w:val="000000"/>
                <w:kern w:val="0"/>
                <w:sz w:val="20"/>
                <w:szCs w:val="20"/>
                <w14:ligatures w14:val="none"/>
              </w:rPr>
              <w:t xml:space="preserve">GHG </w:t>
            </w:r>
            <w:r>
              <w:rPr>
                <w:rFonts w:ascii="Calibri" w:eastAsia="Times New Roman" w:hAnsi="Calibri" w:cs="Calibri"/>
                <w:b/>
                <w:bCs/>
                <w:color w:val="000000"/>
                <w:kern w:val="0"/>
                <w:sz w:val="20"/>
                <w:szCs w:val="20"/>
                <w14:ligatures w14:val="none"/>
              </w:rPr>
              <w:t>E</w:t>
            </w:r>
            <w:r w:rsidRPr="0024060E">
              <w:rPr>
                <w:rFonts w:ascii="Calibri" w:eastAsia="Times New Roman" w:hAnsi="Calibri" w:cs="Calibri"/>
                <w:b/>
                <w:bCs/>
                <w:color w:val="000000"/>
                <w:kern w:val="0"/>
                <w:sz w:val="20"/>
                <w:szCs w:val="20"/>
                <w14:ligatures w14:val="none"/>
              </w:rPr>
              <w:t xml:space="preserve">mission </w:t>
            </w:r>
            <w:r>
              <w:rPr>
                <w:rFonts w:ascii="Calibri" w:eastAsia="Times New Roman" w:hAnsi="Calibri" w:cs="Calibri"/>
                <w:b/>
                <w:bCs/>
                <w:color w:val="000000"/>
                <w:kern w:val="0"/>
                <w:sz w:val="20"/>
                <w:szCs w:val="20"/>
                <w14:ligatures w14:val="none"/>
              </w:rPr>
              <w:t>I</w:t>
            </w:r>
            <w:r w:rsidRPr="0024060E">
              <w:rPr>
                <w:rFonts w:ascii="Calibri" w:eastAsia="Times New Roman" w:hAnsi="Calibri" w:cs="Calibri"/>
                <w:b/>
                <w:bCs/>
                <w:color w:val="000000"/>
                <w:kern w:val="0"/>
                <w:sz w:val="20"/>
                <w:szCs w:val="20"/>
                <w14:ligatures w14:val="none"/>
              </w:rPr>
              <w:t xml:space="preserve">ntensity of </w:t>
            </w:r>
            <w:r>
              <w:rPr>
                <w:rFonts w:ascii="Calibri" w:eastAsia="Times New Roman" w:hAnsi="Calibri" w:cs="Calibri"/>
                <w:b/>
                <w:bCs/>
                <w:color w:val="000000"/>
                <w:kern w:val="0"/>
                <w:sz w:val="20"/>
                <w:szCs w:val="20"/>
                <w14:ligatures w14:val="none"/>
              </w:rPr>
              <w:t>E</w:t>
            </w:r>
            <w:r w:rsidRPr="0024060E">
              <w:rPr>
                <w:rFonts w:ascii="Calibri" w:eastAsia="Times New Roman" w:hAnsi="Calibri" w:cs="Calibri"/>
                <w:b/>
                <w:bCs/>
                <w:color w:val="000000"/>
                <w:kern w:val="0"/>
                <w:sz w:val="20"/>
                <w:szCs w:val="20"/>
                <w14:ligatures w14:val="none"/>
              </w:rPr>
              <w:t xml:space="preserve">lectricity </w:t>
            </w:r>
            <w:r>
              <w:rPr>
                <w:rFonts w:ascii="Calibri" w:eastAsia="Times New Roman" w:hAnsi="Calibri" w:cs="Calibri"/>
                <w:b/>
                <w:bCs/>
                <w:color w:val="000000"/>
                <w:kern w:val="0"/>
                <w:sz w:val="20"/>
                <w:szCs w:val="20"/>
                <w14:ligatures w14:val="none"/>
              </w:rPr>
              <w:t>U</w:t>
            </w:r>
            <w:r w:rsidRPr="0024060E">
              <w:rPr>
                <w:rFonts w:ascii="Calibri" w:eastAsia="Times New Roman" w:hAnsi="Calibri" w:cs="Calibri"/>
                <w:b/>
                <w:bCs/>
                <w:color w:val="000000"/>
                <w:kern w:val="0"/>
                <w:sz w:val="20"/>
                <w:szCs w:val="20"/>
                <w14:ligatures w14:val="none"/>
              </w:rPr>
              <w:t xml:space="preserve">se by </w:t>
            </w:r>
            <w:r>
              <w:rPr>
                <w:rFonts w:ascii="Calibri" w:eastAsia="Times New Roman" w:hAnsi="Calibri" w:cs="Calibri"/>
                <w:b/>
                <w:bCs/>
                <w:color w:val="000000"/>
                <w:kern w:val="0"/>
                <w:sz w:val="20"/>
                <w:szCs w:val="20"/>
                <w14:ligatures w14:val="none"/>
              </w:rPr>
              <w:t>C</w:t>
            </w:r>
            <w:r w:rsidRPr="0024060E">
              <w:rPr>
                <w:rFonts w:ascii="Calibri" w:eastAsia="Times New Roman" w:hAnsi="Calibri" w:cs="Calibri"/>
                <w:b/>
                <w:bCs/>
                <w:color w:val="000000"/>
                <w:kern w:val="0"/>
                <w:sz w:val="20"/>
                <w:szCs w:val="20"/>
                <w14:ligatures w14:val="none"/>
              </w:rPr>
              <w:t>ounty</w:t>
            </w:r>
          </w:p>
          <w:p w14:paraId="2CEA7103" w14:textId="222222A7" w:rsidR="0024060E" w:rsidRPr="0024060E" w:rsidRDefault="0024060E" w:rsidP="0024060E">
            <w:pPr>
              <w:jc w:val="center"/>
              <w:rPr>
                <w:rFonts w:ascii="Calibri" w:eastAsia="Times New Roman" w:hAnsi="Calibri" w:cs="Calibri"/>
                <w:i/>
                <w:iCs/>
                <w:color w:val="000000"/>
                <w:kern w:val="0"/>
                <w:sz w:val="18"/>
                <w:szCs w:val="18"/>
                <w14:ligatures w14:val="none"/>
              </w:rPr>
            </w:pPr>
            <w:r>
              <w:rPr>
                <w:rFonts w:ascii="Calibri" w:eastAsia="Times New Roman" w:hAnsi="Calibri" w:cs="Calibri"/>
                <w:i/>
                <w:iCs/>
                <w:color w:val="000000"/>
                <w:kern w:val="0"/>
                <w:sz w:val="18"/>
                <w:szCs w:val="18"/>
                <w14:ligatures w14:val="none"/>
              </w:rPr>
              <w:t xml:space="preserve">Source:  </w:t>
            </w:r>
            <w:hyperlink r:id="rId18" w:history="1">
              <w:r w:rsidRPr="0024060E">
                <w:rPr>
                  <w:rStyle w:val="Hyperlink"/>
                  <w:rFonts w:ascii="Calibri" w:eastAsia="Times New Roman" w:hAnsi="Calibri" w:cs="Calibri"/>
                  <w:i/>
                  <w:iCs/>
                  <w:kern w:val="0"/>
                  <w:sz w:val="18"/>
                  <w:szCs w:val="18"/>
                  <w14:ligatures w14:val="none"/>
                </w:rPr>
                <w:t>US Department of Energy</w:t>
              </w:r>
            </w:hyperlink>
          </w:p>
          <w:p w14:paraId="0C5A8459" w14:textId="77777777" w:rsidR="0024060E" w:rsidRDefault="0024060E" w:rsidP="00855036">
            <w:pPr>
              <w:rPr>
                <w:rFonts w:ascii="Calibri" w:eastAsia="Times New Roman" w:hAnsi="Calibri" w:cs="Calibri"/>
                <w:b/>
                <w:bCs/>
                <w:color w:val="000000"/>
                <w:kern w:val="0"/>
                <w14:ligatures w14:val="none"/>
              </w:rPr>
            </w:pPr>
          </w:p>
          <w:p w14:paraId="196E3A3A" w14:textId="3B92582C" w:rsidR="00B03B88" w:rsidRPr="00B03B88" w:rsidRDefault="00B03B88" w:rsidP="0085503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claim that the state is reducing emissions while continuing to grow its economy is based solely on measuring </w:t>
            </w:r>
            <w:r w:rsidR="00AD075D">
              <w:rPr>
                <w:rFonts w:ascii="Calibri" w:eastAsia="Times New Roman" w:hAnsi="Calibri" w:cs="Calibri"/>
                <w:color w:val="000000"/>
                <w:kern w:val="0"/>
                <w14:ligatures w14:val="none"/>
              </w:rPr>
              <w:t xml:space="preserve">only </w:t>
            </w:r>
            <w:r>
              <w:rPr>
                <w:rFonts w:ascii="Calibri" w:eastAsia="Times New Roman" w:hAnsi="Calibri" w:cs="Calibri"/>
                <w:color w:val="000000"/>
                <w:kern w:val="0"/>
                <w14:ligatures w14:val="none"/>
              </w:rPr>
              <w:t xml:space="preserve">what happens within the state.  </w:t>
            </w:r>
            <w:r w:rsidR="00AD075D">
              <w:rPr>
                <w:rFonts w:ascii="Calibri" w:eastAsia="Times New Roman" w:hAnsi="Calibri" w:cs="Calibri"/>
                <w:color w:val="000000"/>
                <w:kern w:val="0"/>
                <w14:ligatures w14:val="none"/>
              </w:rPr>
              <w:t>As the state’s economy grows, so are emissions.  California is able to claim victory on this score only because it is exporting the impacts of its growth to other locations.</w:t>
            </w:r>
          </w:p>
          <w:p w14:paraId="5684DCF4" w14:textId="77777777" w:rsidR="0024060E" w:rsidRPr="00331E72" w:rsidRDefault="0024060E" w:rsidP="00855036">
            <w:pPr>
              <w:rPr>
                <w:rFonts w:ascii="Calibri" w:eastAsia="Times New Roman" w:hAnsi="Calibri" w:cs="Calibri"/>
                <w:b/>
                <w:bCs/>
                <w:color w:val="000000"/>
                <w:kern w:val="0"/>
                <w14:ligatures w14:val="none"/>
              </w:rPr>
            </w:pPr>
          </w:p>
          <w:p w14:paraId="4BB21A39" w14:textId="514DFEB2" w:rsidR="00855036" w:rsidRPr="00855036" w:rsidRDefault="00855036" w:rsidP="00855036">
            <w:pPr>
              <w:rPr>
                <w:rFonts w:ascii="Calibri" w:eastAsia="Times New Roman" w:hAnsi="Calibri" w:cs="Calibri"/>
                <w:b/>
                <w:bCs/>
                <w:color w:val="000000"/>
                <w:kern w:val="0"/>
                <w:sz w:val="36"/>
                <w:szCs w:val="36"/>
                <w14:ligatures w14:val="none"/>
              </w:rPr>
            </w:pPr>
            <w:r w:rsidRPr="00855036">
              <w:rPr>
                <w:rFonts w:ascii="Calibri" w:eastAsia="Times New Roman" w:hAnsi="Calibri" w:cs="Calibri"/>
                <w:b/>
                <w:bCs/>
                <w:color w:val="000000"/>
                <w:kern w:val="0"/>
                <w:sz w:val="36"/>
                <w:szCs w:val="36"/>
                <w14:ligatures w14:val="none"/>
              </w:rPr>
              <w:lastRenderedPageBreak/>
              <w:t>Inflation</w:t>
            </w:r>
          </w:p>
        </w:tc>
      </w:tr>
      <w:tr w:rsidR="00855036" w:rsidRPr="00855036" w14:paraId="1C6D69A6" w14:textId="77777777" w:rsidTr="00331E72">
        <w:trPr>
          <w:trHeight w:val="705"/>
        </w:trPr>
        <w:tc>
          <w:tcPr>
            <w:tcW w:w="1155" w:type="pct"/>
            <w:gridSpan w:val="3"/>
            <w:tcBorders>
              <w:top w:val="nil"/>
              <w:left w:val="nil"/>
              <w:bottom w:val="nil"/>
              <w:right w:val="nil"/>
            </w:tcBorders>
            <w:vAlign w:val="bottom"/>
            <w:hideMark/>
          </w:tcPr>
          <w:p w14:paraId="742BA379" w14:textId="28BE95D4"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lastRenderedPageBreak/>
              <w:t>3.</w:t>
            </w:r>
            <w:r w:rsidR="008B7227">
              <w:rPr>
                <w:rFonts w:ascii="Calibri" w:eastAsia="Times New Roman" w:hAnsi="Calibri" w:cs="Calibri"/>
                <w:b/>
                <w:bCs/>
                <w:color w:val="FF0000"/>
                <w:kern w:val="0"/>
                <w:sz w:val="63"/>
                <w:szCs w:val="63"/>
                <w14:ligatures w14:val="none"/>
              </w:rPr>
              <w:t>3</w:t>
            </w:r>
            <w:r w:rsidRPr="00855036">
              <w:rPr>
                <w:rFonts w:ascii="Calibri" w:eastAsia="Times New Roman" w:hAnsi="Calibri" w:cs="Calibri"/>
                <w:b/>
                <w:bCs/>
                <w:color w:val="FF0000"/>
                <w:kern w:val="0"/>
                <w:sz w:val="63"/>
                <w:szCs w:val="63"/>
                <w14:ligatures w14:val="none"/>
              </w:rPr>
              <w:t>%</w:t>
            </w:r>
          </w:p>
        </w:tc>
        <w:tc>
          <w:tcPr>
            <w:tcW w:w="3845" w:type="pct"/>
            <w:gridSpan w:val="5"/>
            <w:vMerge w:val="restart"/>
            <w:tcBorders>
              <w:top w:val="nil"/>
              <w:left w:val="nil"/>
              <w:bottom w:val="nil"/>
              <w:right w:val="nil"/>
            </w:tcBorders>
            <w:vAlign w:val="center"/>
            <w:hideMark/>
          </w:tcPr>
          <w:p w14:paraId="492B47C7" w14:textId="4B338785"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For the 12 months ending </w:t>
            </w:r>
            <w:r w:rsidR="008B7227">
              <w:rPr>
                <w:rFonts w:ascii="Calibri" w:eastAsia="Times New Roman" w:hAnsi="Calibri" w:cs="Calibri"/>
                <w:color w:val="000000"/>
                <w:kern w:val="0"/>
                <w14:ligatures w14:val="none"/>
              </w:rPr>
              <w:t>August</w:t>
            </w:r>
            <w:r w:rsidRPr="00855036">
              <w:rPr>
                <w:rFonts w:ascii="Calibri" w:eastAsia="Times New Roman" w:hAnsi="Calibri" w:cs="Calibri"/>
                <w:color w:val="000000"/>
                <w:kern w:val="0"/>
                <w14:ligatures w14:val="none"/>
              </w:rPr>
              <w:t>, the California CPI rose 3.</w:t>
            </w:r>
            <w:r w:rsidR="008B7227">
              <w:rPr>
                <w:rFonts w:ascii="Calibri" w:eastAsia="Times New Roman" w:hAnsi="Calibri" w:cs="Calibri"/>
                <w:color w:val="000000"/>
                <w:kern w:val="0"/>
                <w14:ligatures w14:val="none"/>
              </w:rPr>
              <w:t>3</w:t>
            </w:r>
            <w:r w:rsidRPr="00855036">
              <w:rPr>
                <w:rFonts w:ascii="Calibri" w:eastAsia="Times New Roman" w:hAnsi="Calibri" w:cs="Calibri"/>
                <w:color w:val="000000"/>
                <w:kern w:val="0"/>
                <w14:ligatures w14:val="none"/>
              </w:rPr>
              <w:t xml:space="preserve">%, </w:t>
            </w:r>
            <w:r w:rsidR="008B7227">
              <w:rPr>
                <w:rFonts w:ascii="Calibri" w:eastAsia="Times New Roman" w:hAnsi="Calibri" w:cs="Calibri"/>
                <w:color w:val="000000"/>
                <w:kern w:val="0"/>
                <w14:ligatures w14:val="none"/>
              </w:rPr>
              <w:t>up</w:t>
            </w:r>
            <w:r w:rsidRPr="00855036">
              <w:rPr>
                <w:rFonts w:ascii="Calibri" w:eastAsia="Times New Roman" w:hAnsi="Calibri" w:cs="Calibri"/>
                <w:color w:val="000000"/>
                <w:kern w:val="0"/>
                <w14:ligatures w14:val="none"/>
              </w:rPr>
              <w:t xml:space="preserve"> from </w:t>
            </w:r>
            <w:r w:rsidR="008B7227">
              <w:rPr>
                <w:rFonts w:ascii="Calibri" w:eastAsia="Times New Roman" w:hAnsi="Calibri" w:cs="Calibri"/>
                <w:color w:val="000000"/>
                <w:kern w:val="0"/>
                <w14:ligatures w14:val="none"/>
              </w:rPr>
              <w:t>3.1</w:t>
            </w:r>
            <w:r w:rsidRPr="00855036">
              <w:rPr>
                <w:rFonts w:ascii="Calibri" w:eastAsia="Times New Roman" w:hAnsi="Calibri" w:cs="Calibri"/>
                <w:color w:val="000000"/>
                <w:kern w:val="0"/>
                <w14:ligatures w14:val="none"/>
              </w:rPr>
              <w:t xml:space="preserve">% for the year ending </w:t>
            </w:r>
            <w:r w:rsidR="008B7227">
              <w:rPr>
                <w:rFonts w:ascii="Calibri" w:eastAsia="Times New Roman" w:hAnsi="Calibri" w:cs="Calibri"/>
                <w:color w:val="000000"/>
                <w:kern w:val="0"/>
                <w14:ligatures w14:val="none"/>
              </w:rPr>
              <w:t>July</w:t>
            </w:r>
            <w:r w:rsidRPr="00855036">
              <w:rPr>
                <w:rFonts w:ascii="Calibri" w:eastAsia="Times New Roman" w:hAnsi="Calibri" w:cs="Calibri"/>
                <w:color w:val="000000"/>
                <w:kern w:val="0"/>
                <w14:ligatures w14:val="none"/>
              </w:rPr>
              <w:t xml:space="preserve">.  In the same period, the US CPI went to 2.9% in </w:t>
            </w:r>
            <w:r w:rsidR="008B7227">
              <w:rPr>
                <w:rFonts w:ascii="Calibri" w:eastAsia="Times New Roman" w:hAnsi="Calibri" w:cs="Calibri"/>
                <w:color w:val="000000"/>
                <w:kern w:val="0"/>
                <w14:ligatures w14:val="none"/>
              </w:rPr>
              <w:t>August</w:t>
            </w:r>
            <w:r w:rsidRPr="00855036">
              <w:rPr>
                <w:rFonts w:ascii="Calibri" w:eastAsia="Times New Roman" w:hAnsi="Calibri" w:cs="Calibri"/>
                <w:color w:val="000000"/>
                <w:kern w:val="0"/>
                <w14:ligatures w14:val="none"/>
              </w:rPr>
              <w:t xml:space="preserve"> from 2.7% in </w:t>
            </w:r>
            <w:r w:rsidR="008B7227">
              <w:rPr>
                <w:rFonts w:ascii="Calibri" w:eastAsia="Times New Roman" w:hAnsi="Calibri" w:cs="Calibri"/>
                <w:color w:val="000000"/>
                <w:kern w:val="0"/>
                <w14:ligatures w14:val="none"/>
              </w:rPr>
              <w:t>July</w:t>
            </w:r>
            <w:r w:rsidRPr="00855036">
              <w:rPr>
                <w:rFonts w:ascii="Calibri" w:eastAsia="Times New Roman" w:hAnsi="Calibri" w:cs="Calibri"/>
                <w:color w:val="000000"/>
                <w:kern w:val="0"/>
                <w14:ligatures w14:val="none"/>
              </w:rPr>
              <w:t xml:space="preserve">.  Using the same Department of Finance weighting formula, Food at Home (groceries) rose </w:t>
            </w:r>
            <w:r w:rsidR="008B7227">
              <w:rPr>
                <w:rFonts w:ascii="Calibri" w:eastAsia="Times New Roman" w:hAnsi="Calibri" w:cs="Calibri"/>
                <w:color w:val="000000"/>
                <w:kern w:val="0"/>
                <w14:ligatures w14:val="none"/>
              </w:rPr>
              <w:t>3.8</w:t>
            </w:r>
            <w:r w:rsidRPr="00855036">
              <w:rPr>
                <w:rFonts w:ascii="Calibri" w:eastAsia="Times New Roman" w:hAnsi="Calibri" w:cs="Calibri"/>
                <w:color w:val="000000"/>
                <w:kern w:val="0"/>
                <w14:ligatures w14:val="none"/>
              </w:rPr>
              <w:t xml:space="preserve">% in California compared to </w:t>
            </w:r>
            <w:r w:rsidR="008B7227">
              <w:rPr>
                <w:rFonts w:ascii="Calibri" w:eastAsia="Times New Roman" w:hAnsi="Calibri" w:cs="Calibri"/>
                <w:color w:val="000000"/>
                <w:kern w:val="0"/>
                <w14:ligatures w14:val="none"/>
              </w:rPr>
              <w:t>2.7</w:t>
            </w:r>
            <w:r w:rsidRPr="00855036">
              <w:rPr>
                <w:rFonts w:ascii="Calibri" w:eastAsia="Times New Roman" w:hAnsi="Calibri" w:cs="Calibri"/>
                <w:color w:val="000000"/>
                <w:kern w:val="0"/>
                <w14:ligatures w14:val="none"/>
              </w:rPr>
              <w:t xml:space="preserve">% for the US.  Food Away from Home (restaurants and takeout) rose </w:t>
            </w:r>
            <w:r w:rsidR="008B7227">
              <w:rPr>
                <w:rFonts w:ascii="Calibri" w:eastAsia="Times New Roman" w:hAnsi="Calibri" w:cs="Calibri"/>
                <w:color w:val="000000"/>
                <w:kern w:val="0"/>
                <w14:ligatures w14:val="none"/>
              </w:rPr>
              <w:t>4.2</w:t>
            </w:r>
            <w:r w:rsidRPr="00855036">
              <w:rPr>
                <w:rFonts w:ascii="Calibri" w:eastAsia="Times New Roman" w:hAnsi="Calibri" w:cs="Calibri"/>
                <w:color w:val="000000"/>
                <w:kern w:val="0"/>
                <w14:ligatures w14:val="none"/>
              </w:rPr>
              <w:t>% compared to the US at 3.</w:t>
            </w:r>
            <w:r w:rsidR="008B7227">
              <w:rPr>
                <w:rFonts w:ascii="Calibri" w:eastAsia="Times New Roman" w:hAnsi="Calibri" w:cs="Calibri"/>
                <w:color w:val="000000"/>
                <w:kern w:val="0"/>
                <w14:ligatures w14:val="none"/>
              </w:rPr>
              <w:t>9</w:t>
            </w:r>
            <w:r w:rsidRPr="00855036">
              <w:rPr>
                <w:rFonts w:ascii="Calibri" w:eastAsia="Times New Roman" w:hAnsi="Calibri" w:cs="Calibri"/>
                <w:color w:val="000000"/>
                <w:kern w:val="0"/>
                <w14:ligatures w14:val="none"/>
              </w:rPr>
              <w:t>%.</w:t>
            </w:r>
          </w:p>
        </w:tc>
      </w:tr>
      <w:tr w:rsidR="00855036" w:rsidRPr="00855036" w14:paraId="60C0BAC4" w14:textId="77777777" w:rsidTr="00331E72">
        <w:trPr>
          <w:trHeight w:val="810"/>
        </w:trPr>
        <w:tc>
          <w:tcPr>
            <w:tcW w:w="1155" w:type="pct"/>
            <w:gridSpan w:val="3"/>
            <w:tcBorders>
              <w:top w:val="nil"/>
              <w:left w:val="nil"/>
              <w:bottom w:val="nil"/>
              <w:right w:val="nil"/>
            </w:tcBorders>
            <w:vAlign w:val="bottom"/>
            <w:hideMark/>
          </w:tcPr>
          <w:p w14:paraId="2C7ABC4E" w14:textId="3559E962"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Increase Since </w:t>
            </w:r>
            <w:r w:rsidR="008B7227">
              <w:rPr>
                <w:rFonts w:ascii="Calibri" w:eastAsia="Times New Roman" w:hAnsi="Calibri" w:cs="Calibri"/>
                <w:color w:val="000000"/>
                <w:kern w:val="0"/>
                <w14:ligatures w14:val="none"/>
              </w:rPr>
              <w:t>August</w:t>
            </w:r>
            <w:r w:rsidRPr="00855036">
              <w:rPr>
                <w:rFonts w:ascii="Calibri" w:eastAsia="Times New Roman" w:hAnsi="Calibri" w:cs="Calibri"/>
                <w:color w:val="000000"/>
                <w:kern w:val="0"/>
                <w14:ligatures w14:val="none"/>
              </w:rPr>
              <w:t xml:space="preserve"> 2024</w:t>
            </w:r>
          </w:p>
        </w:tc>
        <w:tc>
          <w:tcPr>
            <w:tcW w:w="3845" w:type="pct"/>
            <w:gridSpan w:val="5"/>
            <w:vMerge/>
            <w:tcBorders>
              <w:top w:val="nil"/>
              <w:left w:val="nil"/>
              <w:bottom w:val="nil"/>
              <w:right w:val="nil"/>
            </w:tcBorders>
            <w:vAlign w:val="center"/>
            <w:hideMark/>
          </w:tcPr>
          <w:p w14:paraId="7B96BC3F"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12E7CD33" w14:textId="77777777" w:rsidTr="00331E72">
        <w:trPr>
          <w:trHeight w:val="300"/>
        </w:trPr>
        <w:tc>
          <w:tcPr>
            <w:tcW w:w="1155" w:type="pct"/>
            <w:gridSpan w:val="3"/>
            <w:tcBorders>
              <w:top w:val="nil"/>
              <w:left w:val="nil"/>
              <w:bottom w:val="nil"/>
              <w:right w:val="nil"/>
            </w:tcBorders>
            <w:vAlign w:val="bottom"/>
            <w:hideMark/>
          </w:tcPr>
          <w:p w14:paraId="5CC9D109"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noWrap/>
            <w:vAlign w:val="bottom"/>
            <w:hideMark/>
          </w:tcPr>
          <w:p w14:paraId="45652C5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55622EC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2A8DB0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69DE727" w14:textId="77777777" w:rsidTr="00331E72">
        <w:trPr>
          <w:trHeight w:val="300"/>
        </w:trPr>
        <w:tc>
          <w:tcPr>
            <w:tcW w:w="1155" w:type="pct"/>
            <w:gridSpan w:val="3"/>
            <w:tcBorders>
              <w:top w:val="nil"/>
              <w:left w:val="nil"/>
              <w:bottom w:val="nil"/>
              <w:right w:val="nil"/>
            </w:tcBorders>
            <w:vAlign w:val="bottom"/>
            <w:hideMark/>
          </w:tcPr>
          <w:p w14:paraId="61B7EAB4"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noWrap/>
            <w:vAlign w:val="bottom"/>
            <w:hideMark/>
          </w:tcPr>
          <w:p w14:paraId="67B3D8A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798C442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151F8E2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930205D" w14:textId="77777777" w:rsidTr="00E01FE2">
        <w:trPr>
          <w:trHeight w:val="630"/>
        </w:trPr>
        <w:tc>
          <w:tcPr>
            <w:tcW w:w="5000" w:type="pct"/>
            <w:gridSpan w:val="8"/>
            <w:tcBorders>
              <w:top w:val="nil"/>
              <w:left w:val="nil"/>
              <w:bottom w:val="nil"/>
              <w:right w:val="nil"/>
            </w:tcBorders>
            <w:vAlign w:val="center"/>
            <w:hideMark/>
          </w:tcPr>
          <w:p w14:paraId="22B9B3B6"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vs. Rest of US Fuel Price Gap at 57.8% Premium</w:t>
            </w:r>
          </w:p>
        </w:tc>
      </w:tr>
      <w:tr w:rsidR="00855036" w:rsidRPr="00855036" w14:paraId="47EAF20E" w14:textId="77777777" w:rsidTr="00331E72">
        <w:trPr>
          <w:trHeight w:val="300"/>
        </w:trPr>
        <w:tc>
          <w:tcPr>
            <w:tcW w:w="1155" w:type="pct"/>
            <w:gridSpan w:val="3"/>
            <w:tcBorders>
              <w:top w:val="nil"/>
              <w:left w:val="nil"/>
              <w:bottom w:val="nil"/>
              <w:right w:val="nil"/>
            </w:tcBorders>
            <w:vAlign w:val="bottom"/>
            <w:hideMark/>
          </w:tcPr>
          <w:p w14:paraId="5656620E"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4AFC9DDC"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5840D48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4A26A73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C6FFE4C" w14:textId="77777777" w:rsidTr="00331E72">
        <w:trPr>
          <w:trHeight w:val="810"/>
        </w:trPr>
        <w:tc>
          <w:tcPr>
            <w:tcW w:w="1155" w:type="pct"/>
            <w:gridSpan w:val="3"/>
            <w:tcBorders>
              <w:top w:val="nil"/>
              <w:left w:val="nil"/>
              <w:bottom w:val="nil"/>
              <w:right w:val="nil"/>
            </w:tcBorders>
            <w:vAlign w:val="bottom"/>
            <w:hideMark/>
          </w:tcPr>
          <w:p w14:paraId="1B54D895"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t>$1.70</w:t>
            </w:r>
          </w:p>
        </w:tc>
        <w:tc>
          <w:tcPr>
            <w:tcW w:w="3845" w:type="pct"/>
            <w:gridSpan w:val="5"/>
            <w:vMerge w:val="restart"/>
            <w:tcBorders>
              <w:top w:val="nil"/>
              <w:left w:val="nil"/>
              <w:bottom w:val="nil"/>
              <w:right w:val="nil"/>
            </w:tcBorders>
            <w:vAlign w:val="center"/>
            <w:hideMark/>
          </w:tcPr>
          <w:p w14:paraId="21058946" w14:textId="27D3182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The October average price per gallon of regular gasoline in California eased 1 cent from  September to $4.64.  The California regulatory and tax premium above the average for the US other than California ($2.94) rose to $1.70, a 57.8% difference.</w:t>
            </w:r>
          </w:p>
        </w:tc>
      </w:tr>
      <w:tr w:rsidR="00855036" w:rsidRPr="00855036" w14:paraId="6C1B1F95" w14:textId="77777777" w:rsidTr="00331E72">
        <w:trPr>
          <w:trHeight w:val="900"/>
        </w:trPr>
        <w:tc>
          <w:tcPr>
            <w:tcW w:w="1155" w:type="pct"/>
            <w:gridSpan w:val="3"/>
            <w:tcBorders>
              <w:top w:val="nil"/>
              <w:left w:val="nil"/>
              <w:bottom w:val="nil"/>
              <w:right w:val="nil"/>
            </w:tcBorders>
            <w:vAlign w:val="bottom"/>
            <w:hideMark/>
          </w:tcPr>
          <w:p w14:paraId="1F7B8879"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Price Per Gallon</w:t>
            </w:r>
            <w:r w:rsidRPr="00855036">
              <w:rPr>
                <w:rFonts w:ascii="Calibri" w:eastAsia="Times New Roman" w:hAnsi="Calibri" w:cs="Calibri"/>
                <w:color w:val="000000"/>
                <w:kern w:val="0"/>
                <w14:ligatures w14:val="none"/>
              </w:rPr>
              <w:br/>
              <w:t>Above Other States</w:t>
            </w:r>
            <w:r w:rsidRPr="00855036">
              <w:rPr>
                <w:rFonts w:ascii="Calibri" w:eastAsia="Times New Roman" w:hAnsi="Calibri" w:cs="Calibri"/>
                <w:color w:val="000000"/>
                <w:kern w:val="0"/>
                <w14:ligatures w14:val="none"/>
              </w:rPr>
              <w:br/>
              <w:t xml:space="preserve">(CA Average) </w:t>
            </w:r>
          </w:p>
        </w:tc>
        <w:tc>
          <w:tcPr>
            <w:tcW w:w="3845" w:type="pct"/>
            <w:gridSpan w:val="5"/>
            <w:vMerge/>
            <w:tcBorders>
              <w:top w:val="nil"/>
              <w:left w:val="nil"/>
              <w:bottom w:val="nil"/>
              <w:right w:val="nil"/>
            </w:tcBorders>
            <w:vAlign w:val="center"/>
            <w:hideMark/>
          </w:tcPr>
          <w:p w14:paraId="612F3BEF"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4FB28533" w14:textId="77777777" w:rsidTr="00331E72">
        <w:trPr>
          <w:trHeight w:val="300"/>
        </w:trPr>
        <w:tc>
          <w:tcPr>
            <w:tcW w:w="1155" w:type="pct"/>
            <w:gridSpan w:val="3"/>
            <w:tcBorders>
              <w:top w:val="nil"/>
              <w:left w:val="nil"/>
              <w:bottom w:val="nil"/>
              <w:right w:val="nil"/>
            </w:tcBorders>
            <w:vAlign w:val="bottom"/>
            <w:hideMark/>
          </w:tcPr>
          <w:p w14:paraId="67977636"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noWrap/>
            <w:vAlign w:val="bottom"/>
            <w:hideMark/>
          </w:tcPr>
          <w:p w14:paraId="389EE2C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426F2BCF"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DF08887"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A970285" w14:textId="77777777" w:rsidTr="00331E72">
        <w:trPr>
          <w:trHeight w:val="780"/>
        </w:trPr>
        <w:tc>
          <w:tcPr>
            <w:tcW w:w="1155" w:type="pct"/>
            <w:gridSpan w:val="3"/>
            <w:tcBorders>
              <w:top w:val="nil"/>
              <w:left w:val="nil"/>
              <w:bottom w:val="nil"/>
              <w:right w:val="nil"/>
            </w:tcBorders>
            <w:vAlign w:val="bottom"/>
            <w:hideMark/>
          </w:tcPr>
          <w:p w14:paraId="0EACCD6C"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t>1st</w:t>
            </w:r>
          </w:p>
        </w:tc>
        <w:tc>
          <w:tcPr>
            <w:tcW w:w="3845" w:type="pct"/>
            <w:gridSpan w:val="5"/>
            <w:vMerge w:val="restart"/>
            <w:tcBorders>
              <w:top w:val="nil"/>
              <w:left w:val="nil"/>
              <w:bottom w:val="nil"/>
              <w:right w:val="nil"/>
            </w:tcBorders>
            <w:vAlign w:val="center"/>
            <w:hideMark/>
          </w:tcPr>
          <w:p w14:paraId="16515E30"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In October, California had the highest gasoline price among the contiguous states and DC.  Californians paid $2.06 a gallon more than consumers in Oklahoma, the state with the lowest price.</w:t>
            </w:r>
          </w:p>
        </w:tc>
      </w:tr>
      <w:tr w:rsidR="00855036" w:rsidRPr="00855036" w14:paraId="51222B76" w14:textId="77777777" w:rsidTr="00331E72">
        <w:trPr>
          <w:trHeight w:val="600"/>
        </w:trPr>
        <w:tc>
          <w:tcPr>
            <w:tcW w:w="1155" w:type="pct"/>
            <w:gridSpan w:val="3"/>
            <w:tcBorders>
              <w:top w:val="nil"/>
              <w:left w:val="nil"/>
              <w:bottom w:val="nil"/>
              <w:right w:val="nil"/>
            </w:tcBorders>
            <w:vAlign w:val="bottom"/>
            <w:hideMark/>
          </w:tcPr>
          <w:p w14:paraId="1E48932B"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Ranked by </w:t>
            </w:r>
            <w:r w:rsidRPr="00855036">
              <w:rPr>
                <w:rFonts w:ascii="Calibri" w:eastAsia="Times New Roman" w:hAnsi="Calibri" w:cs="Calibri"/>
                <w:color w:val="000000"/>
                <w:kern w:val="0"/>
                <w14:ligatures w14:val="none"/>
              </w:rPr>
              <w:br/>
              <w:t>price</w:t>
            </w:r>
          </w:p>
        </w:tc>
        <w:tc>
          <w:tcPr>
            <w:tcW w:w="3845" w:type="pct"/>
            <w:gridSpan w:val="5"/>
            <w:vMerge/>
            <w:tcBorders>
              <w:top w:val="nil"/>
              <w:left w:val="nil"/>
              <w:bottom w:val="nil"/>
              <w:right w:val="nil"/>
            </w:tcBorders>
            <w:vAlign w:val="center"/>
            <w:hideMark/>
          </w:tcPr>
          <w:p w14:paraId="61428CD8"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40F6682D" w14:textId="77777777" w:rsidTr="00331E72">
        <w:trPr>
          <w:trHeight w:val="330"/>
        </w:trPr>
        <w:tc>
          <w:tcPr>
            <w:tcW w:w="1155" w:type="pct"/>
            <w:gridSpan w:val="3"/>
            <w:tcBorders>
              <w:top w:val="nil"/>
              <w:left w:val="nil"/>
              <w:bottom w:val="nil"/>
              <w:right w:val="nil"/>
            </w:tcBorders>
            <w:vAlign w:val="bottom"/>
            <w:hideMark/>
          </w:tcPr>
          <w:p w14:paraId="26EA2469"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7F83A21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77EF27C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2CD6A14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FFEAC38" w14:textId="77777777" w:rsidTr="00E01FE2">
        <w:trPr>
          <w:trHeight w:val="615"/>
        </w:trPr>
        <w:tc>
          <w:tcPr>
            <w:tcW w:w="5000" w:type="pct"/>
            <w:gridSpan w:val="8"/>
            <w:tcBorders>
              <w:top w:val="nil"/>
              <w:left w:val="nil"/>
              <w:bottom w:val="nil"/>
              <w:right w:val="nil"/>
            </w:tcBorders>
            <w:vAlign w:val="center"/>
            <w:hideMark/>
          </w:tcPr>
          <w:p w14:paraId="48076D73"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Gasoline Taxes &amp; Fees</w:t>
            </w:r>
          </w:p>
        </w:tc>
      </w:tr>
      <w:tr w:rsidR="00855036" w:rsidRPr="00855036" w14:paraId="19420E33" w14:textId="77777777" w:rsidTr="00331E72">
        <w:trPr>
          <w:trHeight w:val="900"/>
        </w:trPr>
        <w:tc>
          <w:tcPr>
            <w:tcW w:w="1155" w:type="pct"/>
            <w:gridSpan w:val="3"/>
            <w:tcBorders>
              <w:top w:val="nil"/>
              <w:left w:val="nil"/>
              <w:bottom w:val="nil"/>
              <w:right w:val="nil"/>
            </w:tcBorders>
            <w:vAlign w:val="bottom"/>
            <w:hideMark/>
          </w:tcPr>
          <w:p w14:paraId="4821B935"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t xml:space="preserve">$1.50 </w:t>
            </w:r>
          </w:p>
        </w:tc>
        <w:tc>
          <w:tcPr>
            <w:tcW w:w="3845" w:type="pct"/>
            <w:gridSpan w:val="5"/>
            <w:vMerge w:val="restart"/>
            <w:tcBorders>
              <w:top w:val="nil"/>
              <w:left w:val="nil"/>
              <w:bottom w:val="nil"/>
              <w:right w:val="nil"/>
            </w:tcBorders>
            <w:vAlign w:val="center"/>
            <w:hideMark/>
          </w:tcPr>
          <w:p w14:paraId="50CB106D" w14:textId="37785CEC"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As we have discussed in prior reports, in the absence of current Energy Commission data, we have begun our own estimates using the Commission factors and the new OPIS data. In October, $1.50 (32.</w:t>
            </w:r>
            <w:r>
              <w:rPr>
                <w:rFonts w:ascii="Calibri" w:eastAsia="Times New Roman" w:hAnsi="Calibri" w:cs="Calibri"/>
                <w:color w:val="000000"/>
                <w:kern w:val="0"/>
                <w14:ligatures w14:val="none"/>
              </w:rPr>
              <w:t>3</w:t>
            </w:r>
            <w:r w:rsidRPr="00855036">
              <w:rPr>
                <w:rFonts w:ascii="Calibri" w:eastAsia="Times New Roman" w:hAnsi="Calibri" w:cs="Calibri"/>
                <w:color w:val="000000"/>
                <w:kern w:val="0"/>
                <w14:ligatures w14:val="none"/>
              </w:rPr>
              <w:t>%) of the price of a gallon of regular gasoline was paid to cover state, local, and federal taxes and fees.</w:t>
            </w:r>
          </w:p>
        </w:tc>
      </w:tr>
      <w:tr w:rsidR="00855036" w:rsidRPr="00855036" w14:paraId="371070BC" w14:textId="77777777" w:rsidTr="00331E72">
        <w:trPr>
          <w:trHeight w:val="720"/>
        </w:trPr>
        <w:tc>
          <w:tcPr>
            <w:tcW w:w="1155" w:type="pct"/>
            <w:gridSpan w:val="3"/>
            <w:tcBorders>
              <w:top w:val="nil"/>
              <w:left w:val="nil"/>
              <w:bottom w:val="nil"/>
              <w:right w:val="nil"/>
            </w:tcBorders>
            <w:vAlign w:val="bottom"/>
            <w:hideMark/>
          </w:tcPr>
          <w:p w14:paraId="162783E3"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Total Taxes &amp; Fees per Gallon of Gasoline</w:t>
            </w:r>
          </w:p>
        </w:tc>
        <w:tc>
          <w:tcPr>
            <w:tcW w:w="3845" w:type="pct"/>
            <w:gridSpan w:val="5"/>
            <w:vMerge/>
            <w:tcBorders>
              <w:top w:val="nil"/>
              <w:left w:val="nil"/>
              <w:bottom w:val="nil"/>
              <w:right w:val="nil"/>
            </w:tcBorders>
            <w:vAlign w:val="center"/>
            <w:hideMark/>
          </w:tcPr>
          <w:p w14:paraId="04FB4847"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1D857FDA" w14:textId="77777777" w:rsidTr="00331E72">
        <w:trPr>
          <w:trHeight w:val="405"/>
        </w:trPr>
        <w:tc>
          <w:tcPr>
            <w:tcW w:w="1155" w:type="pct"/>
            <w:gridSpan w:val="3"/>
            <w:tcBorders>
              <w:top w:val="nil"/>
              <w:left w:val="nil"/>
              <w:bottom w:val="nil"/>
              <w:right w:val="nil"/>
            </w:tcBorders>
            <w:vAlign w:val="bottom"/>
            <w:hideMark/>
          </w:tcPr>
          <w:p w14:paraId="0CC1A4D5"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noWrap/>
            <w:vAlign w:val="bottom"/>
            <w:hideMark/>
          </w:tcPr>
          <w:p w14:paraId="7BDD2C4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6EF7D89C"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center"/>
            <w:hideMark/>
          </w:tcPr>
          <w:p w14:paraId="353DC398"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80EE848" w14:textId="77777777" w:rsidTr="00E01FE2">
        <w:trPr>
          <w:trHeight w:val="555"/>
        </w:trPr>
        <w:tc>
          <w:tcPr>
            <w:tcW w:w="5000" w:type="pct"/>
            <w:gridSpan w:val="8"/>
            <w:tcBorders>
              <w:top w:val="nil"/>
              <w:left w:val="nil"/>
              <w:bottom w:val="nil"/>
              <w:right w:val="nil"/>
            </w:tcBorders>
            <w:noWrap/>
            <w:vAlign w:val="center"/>
            <w:hideMark/>
          </w:tcPr>
          <w:p w14:paraId="25869BAC"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 xml:space="preserve">California Carbon Taxes:  LCFS and Cap &amp; Trade </w:t>
            </w:r>
          </w:p>
        </w:tc>
      </w:tr>
      <w:tr w:rsidR="00855036" w:rsidRPr="00855036" w14:paraId="62CDE7A3" w14:textId="77777777" w:rsidTr="00331E72">
        <w:trPr>
          <w:trHeight w:val="510"/>
        </w:trPr>
        <w:tc>
          <w:tcPr>
            <w:tcW w:w="1155" w:type="pct"/>
            <w:gridSpan w:val="3"/>
            <w:tcBorders>
              <w:top w:val="nil"/>
              <w:left w:val="nil"/>
              <w:bottom w:val="nil"/>
              <w:right w:val="nil"/>
            </w:tcBorders>
            <w:vAlign w:val="bottom"/>
            <w:hideMark/>
          </w:tcPr>
          <w:p w14:paraId="2EF1E0FB"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noWrap/>
            <w:vAlign w:val="bottom"/>
            <w:hideMark/>
          </w:tcPr>
          <w:p w14:paraId="1050DA5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08D44D2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3A101C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E01FE2" w14:paraId="275E4CB8" w14:textId="77777777" w:rsidTr="00865855">
        <w:trPr>
          <w:gridAfter w:val="3"/>
          <w:wAfter w:w="2825" w:type="pct"/>
          <w:trHeight w:val="300"/>
        </w:trPr>
        <w:tc>
          <w:tcPr>
            <w:tcW w:w="2175" w:type="pct"/>
            <w:gridSpan w:val="5"/>
            <w:tcBorders>
              <w:top w:val="nil"/>
              <w:left w:val="nil"/>
              <w:bottom w:val="nil"/>
              <w:right w:val="nil"/>
            </w:tcBorders>
            <w:noWrap/>
            <w:vAlign w:val="center"/>
            <w:hideMark/>
          </w:tcPr>
          <w:p w14:paraId="094E995D" w14:textId="64B42649" w:rsidR="00E01FE2" w:rsidRDefault="00E01FE2">
            <w:pPr>
              <w:rPr>
                <w:rFonts w:ascii="Calibri" w:hAnsi="Calibri" w:cs="Calibri"/>
                <w:b/>
                <w:bCs/>
                <w:color w:val="000000"/>
                <w:sz w:val="20"/>
                <w:szCs w:val="20"/>
              </w:rPr>
            </w:pPr>
            <w:r>
              <w:rPr>
                <w:rFonts w:ascii="Calibri" w:hAnsi="Calibri" w:cs="Calibri"/>
                <w:b/>
                <w:bCs/>
                <w:color w:val="000000"/>
                <w:sz w:val="20"/>
                <w:szCs w:val="20"/>
              </w:rPr>
              <w:t>Per Gallon Carbon Taxes, October 2025</w:t>
            </w:r>
          </w:p>
        </w:tc>
      </w:tr>
      <w:tr w:rsidR="00E01FE2" w14:paraId="3E933444" w14:textId="77777777" w:rsidTr="00865855">
        <w:trPr>
          <w:gridAfter w:val="3"/>
          <w:wAfter w:w="2825" w:type="pct"/>
          <w:trHeight w:val="225"/>
        </w:trPr>
        <w:tc>
          <w:tcPr>
            <w:tcW w:w="1796" w:type="pct"/>
            <w:gridSpan w:val="4"/>
            <w:tcBorders>
              <w:top w:val="nil"/>
              <w:left w:val="nil"/>
              <w:bottom w:val="nil"/>
              <w:right w:val="nil"/>
            </w:tcBorders>
            <w:noWrap/>
            <w:hideMark/>
          </w:tcPr>
          <w:p w14:paraId="67B1F0B4" w14:textId="77777777" w:rsidR="00E01FE2" w:rsidRDefault="00E01FE2">
            <w:pPr>
              <w:rPr>
                <w:rFonts w:ascii="Calibri" w:hAnsi="Calibri" w:cs="Calibri"/>
                <w:i/>
                <w:iCs/>
                <w:color w:val="000000"/>
                <w:sz w:val="14"/>
                <w:szCs w:val="14"/>
              </w:rPr>
            </w:pPr>
            <w:r>
              <w:rPr>
                <w:rFonts w:ascii="Calibri" w:hAnsi="Calibri" w:cs="Calibri"/>
                <w:i/>
                <w:iCs/>
                <w:color w:val="000000"/>
                <w:sz w:val="14"/>
                <w:szCs w:val="14"/>
              </w:rPr>
              <w:t>Source:  OPIS adjusted to include sales tax</w:t>
            </w:r>
          </w:p>
        </w:tc>
        <w:tc>
          <w:tcPr>
            <w:tcW w:w="378" w:type="pct"/>
            <w:tcBorders>
              <w:top w:val="nil"/>
              <w:left w:val="nil"/>
              <w:bottom w:val="nil"/>
              <w:right w:val="nil"/>
            </w:tcBorders>
            <w:noWrap/>
            <w:hideMark/>
          </w:tcPr>
          <w:p w14:paraId="306C1CA2" w14:textId="77777777" w:rsidR="00E01FE2" w:rsidRDefault="00E01FE2">
            <w:pPr>
              <w:rPr>
                <w:rFonts w:ascii="Calibri" w:hAnsi="Calibri" w:cs="Calibri"/>
                <w:i/>
                <w:iCs/>
                <w:color w:val="000000"/>
                <w:sz w:val="14"/>
                <w:szCs w:val="14"/>
              </w:rPr>
            </w:pPr>
          </w:p>
        </w:tc>
      </w:tr>
      <w:tr w:rsidR="00E01FE2" w14:paraId="57267D2F" w14:textId="77777777" w:rsidTr="00865855">
        <w:trPr>
          <w:gridAfter w:val="3"/>
          <w:wAfter w:w="2825" w:type="pct"/>
          <w:trHeight w:val="90"/>
        </w:trPr>
        <w:tc>
          <w:tcPr>
            <w:tcW w:w="683" w:type="pct"/>
            <w:tcBorders>
              <w:top w:val="nil"/>
              <w:left w:val="nil"/>
              <w:bottom w:val="single" w:sz="8" w:space="0" w:color="auto"/>
              <w:right w:val="nil"/>
            </w:tcBorders>
            <w:noWrap/>
            <w:vAlign w:val="center"/>
            <w:hideMark/>
          </w:tcPr>
          <w:p w14:paraId="3048DE22" w14:textId="77777777" w:rsidR="00E01FE2" w:rsidRDefault="00E01FE2">
            <w:pPr>
              <w:rPr>
                <w:rFonts w:ascii="Calibri" w:hAnsi="Calibri" w:cs="Calibri"/>
                <w:color w:val="000000"/>
                <w:sz w:val="20"/>
                <w:szCs w:val="20"/>
              </w:rPr>
            </w:pPr>
            <w:r>
              <w:rPr>
                <w:rFonts w:ascii="Calibri" w:hAnsi="Calibri" w:cs="Calibri"/>
                <w:color w:val="000000"/>
                <w:sz w:val="20"/>
                <w:szCs w:val="20"/>
              </w:rPr>
              <w:t> </w:t>
            </w:r>
          </w:p>
        </w:tc>
        <w:tc>
          <w:tcPr>
            <w:tcW w:w="374" w:type="pct"/>
            <w:tcBorders>
              <w:top w:val="nil"/>
              <w:left w:val="nil"/>
              <w:bottom w:val="single" w:sz="8" w:space="0" w:color="auto"/>
              <w:right w:val="nil"/>
            </w:tcBorders>
            <w:noWrap/>
            <w:vAlign w:val="center"/>
            <w:hideMark/>
          </w:tcPr>
          <w:p w14:paraId="767E987D" w14:textId="77777777" w:rsidR="00E01FE2" w:rsidRDefault="00E01FE2">
            <w:pPr>
              <w:rPr>
                <w:rFonts w:ascii="Calibri" w:hAnsi="Calibri" w:cs="Calibri"/>
                <w:color w:val="000000"/>
                <w:sz w:val="20"/>
                <w:szCs w:val="20"/>
              </w:rPr>
            </w:pPr>
            <w:r>
              <w:rPr>
                <w:rFonts w:ascii="Calibri" w:hAnsi="Calibri" w:cs="Calibri"/>
                <w:color w:val="000000"/>
                <w:sz w:val="20"/>
                <w:szCs w:val="20"/>
              </w:rPr>
              <w:t> </w:t>
            </w:r>
          </w:p>
        </w:tc>
        <w:tc>
          <w:tcPr>
            <w:tcW w:w="739" w:type="pct"/>
            <w:gridSpan w:val="2"/>
            <w:tcBorders>
              <w:top w:val="nil"/>
              <w:left w:val="nil"/>
              <w:bottom w:val="single" w:sz="8" w:space="0" w:color="auto"/>
              <w:right w:val="nil"/>
            </w:tcBorders>
            <w:noWrap/>
            <w:vAlign w:val="center"/>
            <w:hideMark/>
          </w:tcPr>
          <w:p w14:paraId="71ACE0F4" w14:textId="77777777" w:rsidR="00E01FE2" w:rsidRDefault="00E01FE2">
            <w:pPr>
              <w:rPr>
                <w:rFonts w:ascii="Calibri" w:hAnsi="Calibri" w:cs="Calibri"/>
                <w:color w:val="000000"/>
                <w:sz w:val="20"/>
                <w:szCs w:val="20"/>
              </w:rPr>
            </w:pPr>
            <w:r>
              <w:rPr>
                <w:rFonts w:ascii="Calibri" w:hAnsi="Calibri" w:cs="Calibri"/>
                <w:color w:val="000000"/>
                <w:sz w:val="20"/>
                <w:szCs w:val="20"/>
              </w:rPr>
              <w:t> </w:t>
            </w:r>
          </w:p>
        </w:tc>
        <w:tc>
          <w:tcPr>
            <w:tcW w:w="378" w:type="pct"/>
            <w:tcBorders>
              <w:top w:val="nil"/>
              <w:left w:val="nil"/>
              <w:bottom w:val="nil"/>
              <w:right w:val="nil"/>
            </w:tcBorders>
            <w:noWrap/>
            <w:vAlign w:val="bottom"/>
            <w:hideMark/>
          </w:tcPr>
          <w:p w14:paraId="103EE010" w14:textId="77777777" w:rsidR="00E01FE2" w:rsidRDefault="00E01FE2">
            <w:pPr>
              <w:rPr>
                <w:rFonts w:ascii="Calibri" w:hAnsi="Calibri" w:cs="Calibri"/>
                <w:color w:val="000000"/>
                <w:sz w:val="20"/>
                <w:szCs w:val="20"/>
              </w:rPr>
            </w:pPr>
          </w:p>
        </w:tc>
      </w:tr>
      <w:tr w:rsidR="00E01FE2" w14:paraId="2A64A30B" w14:textId="77777777" w:rsidTr="00865855">
        <w:trPr>
          <w:gridAfter w:val="3"/>
          <w:wAfter w:w="2825" w:type="pct"/>
          <w:trHeight w:val="315"/>
        </w:trPr>
        <w:tc>
          <w:tcPr>
            <w:tcW w:w="683" w:type="pct"/>
            <w:tcBorders>
              <w:top w:val="nil"/>
              <w:left w:val="nil"/>
              <w:bottom w:val="single" w:sz="8" w:space="0" w:color="auto"/>
              <w:right w:val="nil"/>
            </w:tcBorders>
            <w:noWrap/>
            <w:vAlign w:val="center"/>
            <w:hideMark/>
          </w:tcPr>
          <w:p w14:paraId="7A9D56D4" w14:textId="77777777" w:rsidR="00E01FE2" w:rsidRDefault="00E01FE2">
            <w:pPr>
              <w:rPr>
                <w:rFonts w:ascii="Calibri" w:hAnsi="Calibri" w:cs="Calibri"/>
                <w:color w:val="000000"/>
                <w:sz w:val="20"/>
                <w:szCs w:val="20"/>
              </w:rPr>
            </w:pPr>
            <w:r>
              <w:rPr>
                <w:rFonts w:ascii="Calibri" w:hAnsi="Calibri" w:cs="Calibri"/>
                <w:color w:val="000000"/>
                <w:sz w:val="20"/>
                <w:szCs w:val="20"/>
              </w:rPr>
              <w:t> </w:t>
            </w:r>
          </w:p>
        </w:tc>
        <w:tc>
          <w:tcPr>
            <w:tcW w:w="374" w:type="pct"/>
            <w:tcBorders>
              <w:top w:val="nil"/>
              <w:left w:val="nil"/>
              <w:bottom w:val="single" w:sz="8" w:space="0" w:color="auto"/>
              <w:right w:val="nil"/>
            </w:tcBorders>
            <w:noWrap/>
            <w:vAlign w:val="center"/>
            <w:hideMark/>
          </w:tcPr>
          <w:p w14:paraId="0118EC4B" w14:textId="77777777" w:rsidR="00E01FE2" w:rsidRDefault="00E01FE2">
            <w:pPr>
              <w:jc w:val="center"/>
              <w:rPr>
                <w:rFonts w:ascii="Calibri" w:hAnsi="Calibri" w:cs="Calibri"/>
                <w:b/>
                <w:bCs/>
                <w:color w:val="000000"/>
                <w:sz w:val="18"/>
                <w:szCs w:val="18"/>
              </w:rPr>
            </w:pPr>
            <w:r>
              <w:rPr>
                <w:rFonts w:ascii="Calibri" w:hAnsi="Calibri" w:cs="Calibri"/>
                <w:b/>
                <w:bCs/>
                <w:color w:val="000000"/>
                <w:sz w:val="18"/>
                <w:szCs w:val="18"/>
              </w:rPr>
              <w:t>LCFS</w:t>
            </w:r>
          </w:p>
        </w:tc>
        <w:tc>
          <w:tcPr>
            <w:tcW w:w="739" w:type="pct"/>
            <w:gridSpan w:val="2"/>
            <w:tcBorders>
              <w:top w:val="nil"/>
              <w:left w:val="nil"/>
              <w:bottom w:val="single" w:sz="8" w:space="0" w:color="auto"/>
              <w:right w:val="nil"/>
            </w:tcBorders>
            <w:noWrap/>
            <w:vAlign w:val="center"/>
            <w:hideMark/>
          </w:tcPr>
          <w:p w14:paraId="342DB4AA" w14:textId="77777777" w:rsidR="00E01FE2" w:rsidRDefault="00E01FE2">
            <w:pPr>
              <w:jc w:val="center"/>
              <w:rPr>
                <w:rFonts w:ascii="Calibri" w:hAnsi="Calibri" w:cs="Calibri"/>
                <w:b/>
                <w:bCs/>
                <w:color w:val="000000"/>
                <w:sz w:val="18"/>
                <w:szCs w:val="18"/>
              </w:rPr>
            </w:pPr>
            <w:r>
              <w:rPr>
                <w:rFonts w:ascii="Calibri" w:hAnsi="Calibri" w:cs="Calibri"/>
                <w:b/>
                <w:bCs/>
                <w:color w:val="000000"/>
                <w:sz w:val="18"/>
                <w:szCs w:val="18"/>
              </w:rPr>
              <w:t>Cap &amp; Trade</w:t>
            </w:r>
          </w:p>
        </w:tc>
        <w:tc>
          <w:tcPr>
            <w:tcW w:w="378" w:type="pct"/>
            <w:tcBorders>
              <w:top w:val="single" w:sz="8" w:space="0" w:color="auto"/>
              <w:left w:val="nil"/>
              <w:bottom w:val="single" w:sz="8" w:space="0" w:color="auto"/>
              <w:right w:val="nil"/>
            </w:tcBorders>
            <w:noWrap/>
            <w:vAlign w:val="center"/>
            <w:hideMark/>
          </w:tcPr>
          <w:p w14:paraId="5878B92C" w14:textId="77777777" w:rsidR="00E01FE2" w:rsidRDefault="00E01FE2">
            <w:pPr>
              <w:jc w:val="center"/>
              <w:rPr>
                <w:rFonts w:ascii="Calibri" w:hAnsi="Calibri" w:cs="Calibri"/>
                <w:b/>
                <w:bCs/>
                <w:color w:val="000000"/>
                <w:sz w:val="18"/>
                <w:szCs w:val="18"/>
              </w:rPr>
            </w:pPr>
            <w:r>
              <w:rPr>
                <w:rFonts w:ascii="Calibri" w:hAnsi="Calibri" w:cs="Calibri"/>
                <w:b/>
                <w:bCs/>
                <w:color w:val="000000"/>
                <w:sz w:val="18"/>
                <w:szCs w:val="18"/>
              </w:rPr>
              <w:t>Total</w:t>
            </w:r>
          </w:p>
        </w:tc>
      </w:tr>
      <w:tr w:rsidR="00E01FE2" w14:paraId="26E1FD26" w14:textId="77777777" w:rsidTr="00865855">
        <w:trPr>
          <w:gridAfter w:val="3"/>
          <w:wAfter w:w="2825" w:type="pct"/>
          <w:trHeight w:val="300"/>
        </w:trPr>
        <w:tc>
          <w:tcPr>
            <w:tcW w:w="683" w:type="pct"/>
            <w:tcBorders>
              <w:top w:val="nil"/>
              <w:left w:val="nil"/>
              <w:bottom w:val="nil"/>
              <w:right w:val="nil"/>
            </w:tcBorders>
            <w:noWrap/>
            <w:vAlign w:val="center"/>
            <w:hideMark/>
          </w:tcPr>
          <w:p w14:paraId="71CF94E4" w14:textId="77777777" w:rsidR="00E01FE2" w:rsidRDefault="00E01FE2">
            <w:pPr>
              <w:rPr>
                <w:rFonts w:ascii="Calibri" w:hAnsi="Calibri" w:cs="Calibri"/>
                <w:color w:val="000000"/>
                <w:sz w:val="20"/>
                <w:szCs w:val="20"/>
              </w:rPr>
            </w:pPr>
            <w:r>
              <w:rPr>
                <w:rFonts w:ascii="Calibri" w:hAnsi="Calibri" w:cs="Calibri"/>
                <w:color w:val="000000"/>
                <w:sz w:val="20"/>
                <w:szCs w:val="20"/>
              </w:rPr>
              <w:t>Gasoline</w:t>
            </w:r>
          </w:p>
        </w:tc>
        <w:tc>
          <w:tcPr>
            <w:tcW w:w="374" w:type="pct"/>
            <w:tcBorders>
              <w:top w:val="nil"/>
              <w:left w:val="nil"/>
              <w:bottom w:val="nil"/>
              <w:right w:val="nil"/>
            </w:tcBorders>
            <w:noWrap/>
            <w:vAlign w:val="center"/>
            <w:hideMark/>
          </w:tcPr>
          <w:p w14:paraId="438FDC00" w14:textId="77777777" w:rsidR="00E01FE2" w:rsidRDefault="00E01FE2">
            <w:pPr>
              <w:jc w:val="right"/>
              <w:rPr>
                <w:rFonts w:ascii="Calibri" w:hAnsi="Calibri" w:cs="Calibri"/>
                <w:color w:val="4472C4"/>
                <w:sz w:val="20"/>
                <w:szCs w:val="20"/>
              </w:rPr>
            </w:pPr>
            <w:r>
              <w:rPr>
                <w:rFonts w:ascii="Calibri" w:hAnsi="Calibri" w:cs="Calibri"/>
                <w:color w:val="4472C4"/>
                <w:sz w:val="20"/>
                <w:szCs w:val="20"/>
              </w:rPr>
              <w:t>$0.15</w:t>
            </w:r>
          </w:p>
        </w:tc>
        <w:tc>
          <w:tcPr>
            <w:tcW w:w="739" w:type="pct"/>
            <w:gridSpan w:val="2"/>
            <w:tcBorders>
              <w:top w:val="nil"/>
              <w:left w:val="nil"/>
              <w:bottom w:val="nil"/>
              <w:right w:val="nil"/>
            </w:tcBorders>
            <w:noWrap/>
            <w:vAlign w:val="center"/>
            <w:hideMark/>
          </w:tcPr>
          <w:p w14:paraId="00F7B882" w14:textId="77777777" w:rsidR="00E01FE2" w:rsidRDefault="00E01FE2">
            <w:pPr>
              <w:jc w:val="right"/>
              <w:rPr>
                <w:rFonts w:ascii="Calibri" w:hAnsi="Calibri" w:cs="Calibri"/>
                <w:color w:val="FF0000"/>
                <w:sz w:val="20"/>
                <w:szCs w:val="20"/>
              </w:rPr>
            </w:pPr>
            <w:r>
              <w:rPr>
                <w:rFonts w:ascii="Calibri" w:hAnsi="Calibri" w:cs="Calibri"/>
                <w:color w:val="FF0000"/>
                <w:sz w:val="20"/>
                <w:szCs w:val="20"/>
              </w:rPr>
              <w:t>$0.29</w:t>
            </w:r>
          </w:p>
        </w:tc>
        <w:tc>
          <w:tcPr>
            <w:tcW w:w="378" w:type="pct"/>
            <w:tcBorders>
              <w:top w:val="nil"/>
              <w:left w:val="nil"/>
              <w:bottom w:val="nil"/>
              <w:right w:val="nil"/>
            </w:tcBorders>
            <w:noWrap/>
            <w:vAlign w:val="center"/>
            <w:hideMark/>
          </w:tcPr>
          <w:p w14:paraId="3A6DF1CC" w14:textId="77777777" w:rsidR="00E01FE2" w:rsidRDefault="00E01FE2">
            <w:pPr>
              <w:jc w:val="right"/>
              <w:rPr>
                <w:rFonts w:ascii="Calibri" w:hAnsi="Calibri" w:cs="Calibri"/>
                <w:color w:val="FF0000"/>
                <w:sz w:val="20"/>
                <w:szCs w:val="20"/>
              </w:rPr>
            </w:pPr>
            <w:r>
              <w:rPr>
                <w:rFonts w:ascii="Calibri" w:hAnsi="Calibri" w:cs="Calibri"/>
                <w:color w:val="FF0000"/>
                <w:sz w:val="20"/>
                <w:szCs w:val="20"/>
              </w:rPr>
              <w:t>$0.44</w:t>
            </w:r>
          </w:p>
        </w:tc>
      </w:tr>
      <w:tr w:rsidR="00E01FE2" w14:paraId="040B3C31" w14:textId="77777777" w:rsidTr="00865855">
        <w:trPr>
          <w:gridAfter w:val="3"/>
          <w:wAfter w:w="2825" w:type="pct"/>
          <w:trHeight w:val="315"/>
        </w:trPr>
        <w:tc>
          <w:tcPr>
            <w:tcW w:w="683" w:type="pct"/>
            <w:tcBorders>
              <w:top w:val="nil"/>
              <w:left w:val="nil"/>
              <w:bottom w:val="single" w:sz="8" w:space="0" w:color="auto"/>
              <w:right w:val="nil"/>
            </w:tcBorders>
            <w:noWrap/>
            <w:vAlign w:val="center"/>
            <w:hideMark/>
          </w:tcPr>
          <w:p w14:paraId="46B9582C" w14:textId="77777777" w:rsidR="00E01FE2" w:rsidRDefault="00E01FE2">
            <w:pPr>
              <w:rPr>
                <w:rFonts w:ascii="Calibri" w:hAnsi="Calibri" w:cs="Calibri"/>
                <w:color w:val="000000"/>
                <w:sz w:val="20"/>
                <w:szCs w:val="20"/>
              </w:rPr>
            </w:pPr>
            <w:r>
              <w:rPr>
                <w:rFonts w:ascii="Calibri" w:hAnsi="Calibri" w:cs="Calibri"/>
                <w:color w:val="000000"/>
                <w:sz w:val="20"/>
                <w:szCs w:val="20"/>
              </w:rPr>
              <w:lastRenderedPageBreak/>
              <w:t>Diesel</w:t>
            </w:r>
          </w:p>
        </w:tc>
        <w:tc>
          <w:tcPr>
            <w:tcW w:w="374" w:type="pct"/>
            <w:tcBorders>
              <w:top w:val="nil"/>
              <w:left w:val="nil"/>
              <w:bottom w:val="single" w:sz="8" w:space="0" w:color="auto"/>
              <w:right w:val="nil"/>
            </w:tcBorders>
            <w:noWrap/>
            <w:vAlign w:val="center"/>
            <w:hideMark/>
          </w:tcPr>
          <w:p w14:paraId="4F7860C2" w14:textId="77777777" w:rsidR="00E01FE2" w:rsidRDefault="00E01FE2">
            <w:pPr>
              <w:jc w:val="right"/>
              <w:rPr>
                <w:rFonts w:ascii="Calibri" w:hAnsi="Calibri" w:cs="Calibri"/>
                <w:color w:val="FF0000"/>
                <w:sz w:val="20"/>
                <w:szCs w:val="20"/>
              </w:rPr>
            </w:pPr>
            <w:r>
              <w:rPr>
                <w:rFonts w:ascii="Calibri" w:hAnsi="Calibri" w:cs="Calibri"/>
                <w:color w:val="FF0000"/>
                <w:sz w:val="20"/>
                <w:szCs w:val="20"/>
              </w:rPr>
              <w:t>$0.18</w:t>
            </w:r>
          </w:p>
        </w:tc>
        <w:tc>
          <w:tcPr>
            <w:tcW w:w="739" w:type="pct"/>
            <w:gridSpan w:val="2"/>
            <w:tcBorders>
              <w:top w:val="nil"/>
              <w:left w:val="nil"/>
              <w:bottom w:val="single" w:sz="8" w:space="0" w:color="auto"/>
              <w:right w:val="nil"/>
            </w:tcBorders>
            <w:noWrap/>
            <w:vAlign w:val="center"/>
            <w:hideMark/>
          </w:tcPr>
          <w:p w14:paraId="5824C4F9" w14:textId="77777777" w:rsidR="00E01FE2" w:rsidRDefault="00E01FE2">
            <w:pPr>
              <w:jc w:val="right"/>
              <w:rPr>
                <w:rFonts w:ascii="Calibri" w:hAnsi="Calibri" w:cs="Calibri"/>
                <w:color w:val="FF0000"/>
                <w:sz w:val="20"/>
                <w:szCs w:val="20"/>
              </w:rPr>
            </w:pPr>
            <w:r>
              <w:rPr>
                <w:rFonts w:ascii="Calibri" w:hAnsi="Calibri" w:cs="Calibri"/>
                <w:color w:val="FF0000"/>
                <w:sz w:val="20"/>
                <w:szCs w:val="20"/>
              </w:rPr>
              <w:t>$0.36</w:t>
            </w:r>
          </w:p>
        </w:tc>
        <w:tc>
          <w:tcPr>
            <w:tcW w:w="378" w:type="pct"/>
            <w:tcBorders>
              <w:top w:val="nil"/>
              <w:left w:val="nil"/>
              <w:bottom w:val="single" w:sz="8" w:space="0" w:color="auto"/>
              <w:right w:val="nil"/>
            </w:tcBorders>
            <w:noWrap/>
            <w:vAlign w:val="center"/>
            <w:hideMark/>
          </w:tcPr>
          <w:p w14:paraId="15A55DC6" w14:textId="77777777" w:rsidR="00E01FE2" w:rsidRDefault="00E01FE2">
            <w:pPr>
              <w:jc w:val="right"/>
              <w:rPr>
                <w:rFonts w:ascii="Calibri" w:hAnsi="Calibri" w:cs="Calibri"/>
                <w:color w:val="FF0000"/>
                <w:sz w:val="20"/>
                <w:szCs w:val="20"/>
              </w:rPr>
            </w:pPr>
            <w:r>
              <w:rPr>
                <w:rFonts w:ascii="Calibri" w:hAnsi="Calibri" w:cs="Calibri"/>
                <w:color w:val="FF0000"/>
                <w:sz w:val="20"/>
                <w:szCs w:val="20"/>
              </w:rPr>
              <w:t>$0.54</w:t>
            </w:r>
          </w:p>
        </w:tc>
      </w:tr>
      <w:tr w:rsidR="00855036" w:rsidRPr="00855036" w14:paraId="48D4068E" w14:textId="77777777" w:rsidTr="00E01FE2">
        <w:trPr>
          <w:trHeight w:val="1695"/>
        </w:trPr>
        <w:tc>
          <w:tcPr>
            <w:tcW w:w="5000" w:type="pct"/>
            <w:gridSpan w:val="8"/>
            <w:tcBorders>
              <w:top w:val="nil"/>
              <w:left w:val="nil"/>
              <w:bottom w:val="nil"/>
              <w:right w:val="nil"/>
            </w:tcBorders>
            <w:vAlign w:val="bottom"/>
            <w:hideMark/>
          </w:tcPr>
          <w:p w14:paraId="41903D05" w14:textId="77777777" w:rsidR="00E01FE2" w:rsidRDefault="00E01FE2" w:rsidP="00855036">
            <w:pPr>
              <w:rPr>
                <w:rFonts w:ascii="Calibri" w:eastAsia="Times New Roman" w:hAnsi="Calibri" w:cs="Calibri"/>
                <w:color w:val="000000"/>
                <w:kern w:val="0"/>
                <w14:ligatures w14:val="none"/>
              </w:rPr>
            </w:pPr>
          </w:p>
          <w:p w14:paraId="7522884E" w14:textId="31D5AE1E"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In </w:t>
            </w:r>
            <w:r w:rsidR="00E01FE2">
              <w:rPr>
                <w:rFonts w:ascii="Calibri" w:eastAsia="Times New Roman" w:hAnsi="Calibri" w:cs="Calibri"/>
                <w:color w:val="000000"/>
                <w:kern w:val="0"/>
                <w14:ligatures w14:val="none"/>
              </w:rPr>
              <w:t>October</w:t>
            </w:r>
            <w:r w:rsidRPr="00855036">
              <w:rPr>
                <w:rFonts w:ascii="Calibri" w:eastAsia="Times New Roman" w:hAnsi="Calibri" w:cs="Calibri"/>
                <w:color w:val="000000"/>
                <w:kern w:val="0"/>
                <w14:ligatures w14:val="none"/>
              </w:rPr>
              <w:t xml:space="preserve">, total LCFS charges incorporated in the price Californians pay for fuel </w:t>
            </w:r>
            <w:r w:rsidR="00E01FE2">
              <w:rPr>
                <w:rFonts w:ascii="Calibri" w:eastAsia="Times New Roman" w:hAnsi="Calibri" w:cs="Calibri"/>
                <w:color w:val="000000"/>
                <w:kern w:val="0"/>
                <w14:ligatures w14:val="none"/>
              </w:rPr>
              <w:t>was unchanged</w:t>
            </w:r>
            <w:r w:rsidRPr="00855036">
              <w:rPr>
                <w:rFonts w:ascii="Calibri" w:eastAsia="Times New Roman" w:hAnsi="Calibri" w:cs="Calibri"/>
                <w:color w:val="000000"/>
                <w:kern w:val="0"/>
                <w14:ligatures w14:val="none"/>
              </w:rPr>
              <w:t xml:space="preserve"> for gasoline </w:t>
            </w:r>
            <w:r w:rsidR="00E01FE2">
              <w:rPr>
                <w:rFonts w:ascii="Calibri" w:eastAsia="Times New Roman" w:hAnsi="Calibri" w:cs="Calibri"/>
                <w:color w:val="000000"/>
                <w:kern w:val="0"/>
                <w14:ligatures w14:val="none"/>
              </w:rPr>
              <w:t xml:space="preserve">and </w:t>
            </w:r>
            <w:r w:rsidR="00FA6D1D">
              <w:rPr>
                <w:rFonts w:ascii="Calibri" w:eastAsia="Times New Roman" w:hAnsi="Calibri" w:cs="Calibri"/>
                <w:color w:val="000000"/>
                <w:kern w:val="0"/>
                <w14:ligatures w14:val="none"/>
              </w:rPr>
              <w:t>rose 1 cent</w:t>
            </w:r>
            <w:r w:rsidRPr="00855036">
              <w:rPr>
                <w:rFonts w:ascii="Calibri" w:eastAsia="Times New Roman" w:hAnsi="Calibri" w:cs="Calibri"/>
                <w:color w:val="000000"/>
                <w:kern w:val="0"/>
                <w14:ligatures w14:val="none"/>
              </w:rPr>
              <w:t xml:space="preserve"> for diesel, while the Cap &amp; Trade component </w:t>
            </w:r>
            <w:r w:rsidR="00E01FE2">
              <w:rPr>
                <w:rFonts w:ascii="Calibri" w:eastAsia="Times New Roman" w:hAnsi="Calibri" w:cs="Calibri"/>
                <w:color w:val="000000"/>
                <w:kern w:val="0"/>
                <w14:ligatures w14:val="none"/>
              </w:rPr>
              <w:t>rose 2 cents for each fuel</w:t>
            </w:r>
            <w:r w:rsidRPr="00855036">
              <w:rPr>
                <w:rFonts w:ascii="Calibri" w:eastAsia="Times New Roman" w:hAnsi="Calibri" w:cs="Calibri"/>
                <w:color w:val="000000"/>
                <w:kern w:val="0"/>
                <w14:ligatures w14:val="none"/>
              </w:rPr>
              <w:t>.  The costs shown in the table are for the penultimate month-to-date numbers from the OPIS Carbon Market Report, adjusted to incorporate state and local sales tax to account for the full additional costs imposed by these regulatory fees on fuel buyers.  Certain Data or Information Provided By: Oil Price Information Service, LLC. Distribution of OPIS data without permission from OPIS is prohibited.</w:t>
            </w:r>
          </w:p>
        </w:tc>
      </w:tr>
      <w:tr w:rsidR="00855036" w:rsidRPr="00855036" w14:paraId="6A4A2295" w14:textId="77777777" w:rsidTr="00331E72">
        <w:trPr>
          <w:trHeight w:val="300"/>
        </w:trPr>
        <w:tc>
          <w:tcPr>
            <w:tcW w:w="1155" w:type="pct"/>
            <w:gridSpan w:val="3"/>
            <w:tcBorders>
              <w:top w:val="nil"/>
              <w:left w:val="nil"/>
              <w:bottom w:val="nil"/>
              <w:right w:val="nil"/>
            </w:tcBorders>
            <w:vAlign w:val="bottom"/>
            <w:hideMark/>
          </w:tcPr>
          <w:p w14:paraId="090C56EC" w14:textId="77777777" w:rsidR="00855036" w:rsidRPr="00855036" w:rsidRDefault="00855036" w:rsidP="00855036">
            <w:pPr>
              <w:rPr>
                <w:rFonts w:ascii="Calibri" w:eastAsia="Times New Roman" w:hAnsi="Calibri" w:cs="Calibri"/>
                <w:color w:val="000000"/>
                <w:kern w:val="0"/>
                <w14:ligatures w14:val="none"/>
              </w:rPr>
            </w:pPr>
          </w:p>
        </w:tc>
        <w:tc>
          <w:tcPr>
            <w:tcW w:w="2428" w:type="pct"/>
            <w:gridSpan w:val="3"/>
            <w:tcBorders>
              <w:top w:val="nil"/>
              <w:left w:val="nil"/>
              <w:bottom w:val="nil"/>
              <w:right w:val="nil"/>
            </w:tcBorders>
            <w:noWrap/>
            <w:vAlign w:val="bottom"/>
            <w:hideMark/>
          </w:tcPr>
          <w:p w14:paraId="396F4D5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7DF6BF85"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E1E4501"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24E4935" w14:textId="77777777" w:rsidTr="00E01FE2">
        <w:trPr>
          <w:trHeight w:val="1530"/>
        </w:trPr>
        <w:tc>
          <w:tcPr>
            <w:tcW w:w="5000" w:type="pct"/>
            <w:gridSpan w:val="8"/>
            <w:tcBorders>
              <w:top w:val="nil"/>
              <w:left w:val="nil"/>
              <w:bottom w:val="nil"/>
              <w:right w:val="nil"/>
            </w:tcBorders>
            <w:hideMark/>
          </w:tcPr>
          <w:p w14:paraId="0039A7D9" w14:textId="6D858C43" w:rsid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Combining the OPIS data (without the sales tax component) with the previous Energy Commission estimates, Cap &amp; Trade costs are now showing a </w:t>
            </w:r>
            <w:r w:rsidR="00E01FE2">
              <w:rPr>
                <w:rFonts w:ascii="Calibri" w:eastAsia="Times New Roman" w:hAnsi="Calibri" w:cs="Calibri"/>
                <w:color w:val="000000"/>
                <w:kern w:val="0"/>
                <w14:ligatures w14:val="none"/>
              </w:rPr>
              <w:t>sustained</w:t>
            </w:r>
            <w:r w:rsidRPr="00855036">
              <w:rPr>
                <w:rFonts w:ascii="Calibri" w:eastAsia="Times New Roman" w:hAnsi="Calibri" w:cs="Calibri"/>
                <w:color w:val="000000"/>
                <w:kern w:val="0"/>
                <w14:ligatures w14:val="none"/>
              </w:rPr>
              <w:t xml:space="preserve"> rise </w:t>
            </w:r>
            <w:r w:rsidR="001B63DC">
              <w:rPr>
                <w:rFonts w:ascii="Calibri" w:eastAsia="Times New Roman" w:hAnsi="Calibri" w:cs="Calibri"/>
                <w:color w:val="000000"/>
                <w:kern w:val="0"/>
                <w14:ligatures w14:val="none"/>
              </w:rPr>
              <w:t xml:space="preserve">following the program’s extension.  </w:t>
            </w:r>
            <w:r w:rsidRPr="00855036">
              <w:rPr>
                <w:rFonts w:ascii="Calibri" w:eastAsia="Times New Roman" w:hAnsi="Calibri" w:cs="Calibri"/>
                <w:color w:val="000000"/>
                <w:kern w:val="0"/>
                <w14:ligatures w14:val="none"/>
              </w:rPr>
              <w:t>LCFS costs had been easing before June</w:t>
            </w:r>
            <w:r w:rsidR="00E01FE2">
              <w:rPr>
                <w:rFonts w:ascii="Calibri" w:eastAsia="Times New Roman" w:hAnsi="Calibri" w:cs="Calibri"/>
                <w:color w:val="000000"/>
                <w:kern w:val="0"/>
                <w14:ligatures w14:val="none"/>
              </w:rPr>
              <w:t xml:space="preserve"> as the result of data corrections discussed in last month’s report,</w:t>
            </w:r>
            <w:r w:rsidRPr="00855036">
              <w:rPr>
                <w:rFonts w:ascii="Calibri" w:eastAsia="Times New Roman" w:hAnsi="Calibri" w:cs="Calibri"/>
                <w:color w:val="000000"/>
                <w:kern w:val="0"/>
                <w14:ligatures w14:val="none"/>
              </w:rPr>
              <w:t xml:space="preserve"> but sharply reversed course </w:t>
            </w:r>
            <w:r w:rsidR="001B63DC">
              <w:rPr>
                <w:rFonts w:ascii="Calibri" w:eastAsia="Times New Roman" w:hAnsi="Calibri" w:cs="Calibri"/>
                <w:color w:val="000000"/>
                <w:kern w:val="0"/>
                <w14:ligatures w14:val="none"/>
              </w:rPr>
              <w:t>as</w:t>
            </w:r>
            <w:r w:rsidRPr="00855036">
              <w:rPr>
                <w:rFonts w:ascii="Calibri" w:eastAsia="Times New Roman" w:hAnsi="Calibri" w:cs="Calibri"/>
                <w:color w:val="000000"/>
                <w:kern w:val="0"/>
                <w14:ligatures w14:val="none"/>
              </w:rPr>
              <w:t xml:space="preserve"> the new regulations</w:t>
            </w:r>
            <w:r w:rsidR="001B63DC">
              <w:rPr>
                <w:rFonts w:ascii="Calibri" w:eastAsia="Times New Roman" w:hAnsi="Calibri" w:cs="Calibri"/>
                <w:color w:val="000000"/>
                <w:kern w:val="0"/>
                <w14:ligatures w14:val="none"/>
              </w:rPr>
              <w:t xml:space="preserve"> took effect in July</w:t>
            </w:r>
            <w:r w:rsidRPr="00855036">
              <w:rPr>
                <w:rFonts w:ascii="Calibri" w:eastAsia="Times New Roman" w:hAnsi="Calibri" w:cs="Calibri"/>
                <w:color w:val="000000"/>
                <w:kern w:val="0"/>
                <w14:ligatures w14:val="none"/>
              </w:rPr>
              <w:t xml:space="preserve">.  Note that both charts include both the Cap &amp; Trade components charged at the rack and levied on production from the OPIS data, and only the rack component in the Energy Commission data.  </w:t>
            </w:r>
          </w:p>
          <w:p w14:paraId="05097A89" w14:textId="77777777" w:rsidR="00E01FE2" w:rsidRDefault="00E01FE2" w:rsidP="00855036">
            <w:pPr>
              <w:rPr>
                <w:rFonts w:ascii="Calibri" w:eastAsia="Times New Roman" w:hAnsi="Calibri" w:cs="Calibri"/>
                <w:color w:val="000000"/>
                <w:kern w:val="0"/>
                <w14:ligatures w14:val="none"/>
              </w:rPr>
            </w:pPr>
          </w:p>
          <w:p w14:paraId="34FC7CA4" w14:textId="77777777" w:rsidR="00E01FE2" w:rsidRDefault="00E01FE2" w:rsidP="00E01FE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5DFA80BB" wp14:editId="031D819D">
                  <wp:extent cx="4006672" cy="2370683"/>
                  <wp:effectExtent l="0" t="0" r="0" b="0"/>
                  <wp:docPr id="1824975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556" cy="2384223"/>
                          </a:xfrm>
                          <a:prstGeom prst="rect">
                            <a:avLst/>
                          </a:prstGeom>
                          <a:noFill/>
                        </pic:spPr>
                      </pic:pic>
                    </a:graphicData>
                  </a:graphic>
                </wp:inline>
              </w:drawing>
            </w:r>
          </w:p>
          <w:p w14:paraId="0B9010D7" w14:textId="77777777" w:rsidR="00E01FE2" w:rsidRDefault="00E01FE2" w:rsidP="00855036">
            <w:pPr>
              <w:rPr>
                <w:rFonts w:ascii="Calibri" w:eastAsia="Times New Roman" w:hAnsi="Calibri" w:cs="Calibri"/>
                <w:color w:val="000000"/>
                <w:kern w:val="0"/>
                <w14:ligatures w14:val="none"/>
              </w:rPr>
            </w:pPr>
          </w:p>
          <w:p w14:paraId="45094B7B" w14:textId="77777777" w:rsidR="00E01FE2" w:rsidRDefault="00E01FE2" w:rsidP="00E01FE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358B1B62" wp14:editId="5CEB6F33">
                  <wp:extent cx="4010584" cy="2401150"/>
                  <wp:effectExtent l="0" t="0" r="9525" b="0"/>
                  <wp:docPr id="1711198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7082" cy="2405040"/>
                          </a:xfrm>
                          <a:prstGeom prst="rect">
                            <a:avLst/>
                          </a:prstGeom>
                          <a:noFill/>
                        </pic:spPr>
                      </pic:pic>
                    </a:graphicData>
                  </a:graphic>
                </wp:inline>
              </w:drawing>
            </w:r>
          </w:p>
          <w:p w14:paraId="20434C92" w14:textId="77777777" w:rsidR="00E01FE2" w:rsidRDefault="00E01FE2" w:rsidP="00E01FE2">
            <w:pPr>
              <w:jc w:val="center"/>
              <w:rPr>
                <w:rFonts w:ascii="Calibri" w:eastAsia="Times New Roman" w:hAnsi="Calibri" w:cs="Calibri"/>
                <w:color w:val="000000"/>
                <w:kern w:val="0"/>
                <w14:ligatures w14:val="none"/>
              </w:rPr>
            </w:pPr>
          </w:p>
          <w:p w14:paraId="0EA708D6" w14:textId="443FAD9D" w:rsidR="001B63DC" w:rsidRDefault="001B63DC" w:rsidP="00953F90">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The cost effect of the amended LCFS regulations continues to be masked by the high level of banked credits.  Overall, credit prices have been largely level, showing only a marginal change since the end of July on a 4-week moving average basis.  This price moderation and the resulting stable impact on fuel prices stem</w:t>
            </w:r>
            <w:r w:rsidR="00FA6D1D">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from the continued run-up in banked credits, which reached their highest level yet of 43.0 million in the 2</w:t>
            </w:r>
            <w:r w:rsidRPr="001B63DC">
              <w:rPr>
                <w:rFonts w:ascii="Calibri" w:eastAsia="Times New Roman" w:hAnsi="Calibri" w:cs="Calibri"/>
                <w:color w:val="000000"/>
                <w:kern w:val="0"/>
                <w:vertAlign w:val="superscript"/>
                <w14:ligatures w14:val="none"/>
              </w:rPr>
              <w:t>nd</w:t>
            </w:r>
            <w:r>
              <w:rPr>
                <w:rFonts w:ascii="Calibri" w:eastAsia="Times New Roman" w:hAnsi="Calibri" w:cs="Calibri"/>
                <w:color w:val="000000"/>
                <w:kern w:val="0"/>
                <w14:ligatures w14:val="none"/>
              </w:rPr>
              <w:t xml:space="preserve"> quarter</w:t>
            </w:r>
            <w:r w:rsidR="00FA6D1D">
              <w:rPr>
                <w:rFonts w:ascii="Calibri" w:eastAsia="Times New Roman" w:hAnsi="Calibri" w:cs="Calibri"/>
                <w:color w:val="000000"/>
                <w:kern w:val="0"/>
                <w14:ligatures w14:val="none"/>
              </w:rPr>
              <w:t xml:space="preserve"> just prior to the effective date of the amended regulations</w:t>
            </w:r>
            <w:r>
              <w:rPr>
                <w:rFonts w:ascii="Calibri" w:eastAsia="Times New Roman" w:hAnsi="Calibri" w:cs="Calibri"/>
                <w:color w:val="000000"/>
                <w:kern w:val="0"/>
                <w14:ligatures w14:val="none"/>
              </w:rPr>
              <w:t xml:space="preserve">.  As the </w:t>
            </w:r>
            <w:r w:rsidR="00FA6D1D">
              <w:rPr>
                <w:rFonts w:ascii="Calibri" w:eastAsia="Times New Roman" w:hAnsi="Calibri" w:cs="Calibri"/>
                <w:color w:val="000000"/>
                <w:kern w:val="0"/>
                <w14:ligatures w14:val="none"/>
              </w:rPr>
              <w:t xml:space="preserve">increasingly stricter </w:t>
            </w:r>
            <w:r>
              <w:rPr>
                <w:rFonts w:ascii="Calibri" w:eastAsia="Times New Roman" w:hAnsi="Calibri" w:cs="Calibri"/>
                <w:color w:val="000000"/>
                <w:kern w:val="0"/>
                <w14:ligatures w14:val="none"/>
              </w:rPr>
              <w:t xml:space="preserve">standards under the </w:t>
            </w:r>
            <w:r w:rsidR="00FA6D1D">
              <w:rPr>
                <w:rFonts w:ascii="Calibri" w:eastAsia="Times New Roman" w:hAnsi="Calibri" w:cs="Calibri"/>
                <w:color w:val="000000"/>
                <w:kern w:val="0"/>
                <w14:ligatures w14:val="none"/>
              </w:rPr>
              <w:t xml:space="preserve">amended </w:t>
            </w:r>
            <w:r>
              <w:rPr>
                <w:rFonts w:ascii="Calibri" w:eastAsia="Times New Roman" w:hAnsi="Calibri" w:cs="Calibri"/>
                <w:color w:val="000000"/>
                <w:kern w:val="0"/>
                <w14:ligatures w14:val="none"/>
              </w:rPr>
              <w:t xml:space="preserve">regulations begin to eat away at this buffer, credit prices and the consequent costs to households and employers will begin trending </w:t>
            </w:r>
            <w:r w:rsidR="00953F90">
              <w:rPr>
                <w:rFonts w:ascii="Calibri" w:eastAsia="Times New Roman" w:hAnsi="Calibri" w:cs="Calibri"/>
                <w:color w:val="000000"/>
                <w:kern w:val="0"/>
                <w14:ligatures w14:val="none"/>
              </w:rPr>
              <w:t>back up towards historical levels.</w:t>
            </w:r>
          </w:p>
          <w:p w14:paraId="68EC174A" w14:textId="77777777" w:rsidR="001B63DC" w:rsidRDefault="001B63DC" w:rsidP="00E01FE2">
            <w:pPr>
              <w:jc w:val="center"/>
              <w:rPr>
                <w:rFonts w:ascii="Calibri" w:eastAsia="Times New Roman" w:hAnsi="Calibri" w:cs="Calibri"/>
                <w:color w:val="000000"/>
                <w:kern w:val="0"/>
                <w14:ligatures w14:val="none"/>
              </w:rPr>
            </w:pPr>
          </w:p>
          <w:p w14:paraId="391DABA2" w14:textId="30B9C4E1" w:rsidR="001B63DC" w:rsidRPr="00855036" w:rsidRDefault="001B63DC" w:rsidP="00E01FE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5CCA50B7" wp14:editId="17655B60">
                  <wp:extent cx="3955339" cy="2543434"/>
                  <wp:effectExtent l="0" t="0" r="7620" b="0"/>
                  <wp:docPr id="1286135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3129" cy="2548443"/>
                          </a:xfrm>
                          <a:prstGeom prst="rect">
                            <a:avLst/>
                          </a:prstGeom>
                          <a:noFill/>
                        </pic:spPr>
                      </pic:pic>
                    </a:graphicData>
                  </a:graphic>
                </wp:inline>
              </w:drawing>
            </w:r>
          </w:p>
        </w:tc>
      </w:tr>
      <w:tr w:rsidR="00855036" w:rsidRPr="00855036" w14:paraId="7E96F425" w14:textId="77777777" w:rsidTr="00331E72">
        <w:trPr>
          <w:trHeight w:val="66"/>
        </w:trPr>
        <w:tc>
          <w:tcPr>
            <w:tcW w:w="1155" w:type="pct"/>
            <w:gridSpan w:val="3"/>
            <w:tcBorders>
              <w:top w:val="nil"/>
              <w:left w:val="nil"/>
              <w:bottom w:val="nil"/>
              <w:right w:val="nil"/>
            </w:tcBorders>
            <w:vAlign w:val="bottom"/>
            <w:hideMark/>
          </w:tcPr>
          <w:p w14:paraId="28EC752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noWrap/>
            <w:vAlign w:val="bottom"/>
            <w:hideMark/>
          </w:tcPr>
          <w:p w14:paraId="12566D80"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18B37A4E"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867BBA8"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1EEB88E" w14:textId="77777777" w:rsidTr="00E01FE2">
        <w:trPr>
          <w:trHeight w:val="540"/>
        </w:trPr>
        <w:tc>
          <w:tcPr>
            <w:tcW w:w="5000" w:type="pct"/>
            <w:gridSpan w:val="8"/>
            <w:tcBorders>
              <w:top w:val="nil"/>
              <w:left w:val="nil"/>
              <w:bottom w:val="nil"/>
              <w:right w:val="nil"/>
            </w:tcBorders>
            <w:vAlign w:val="bottom"/>
            <w:hideMark/>
          </w:tcPr>
          <w:p w14:paraId="002120AA"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vs. Rest of US Diesel Price</w:t>
            </w:r>
          </w:p>
        </w:tc>
      </w:tr>
      <w:tr w:rsidR="00855036" w:rsidRPr="00855036" w14:paraId="5B19AE38" w14:textId="77777777" w:rsidTr="00331E72">
        <w:trPr>
          <w:trHeight w:val="300"/>
        </w:trPr>
        <w:tc>
          <w:tcPr>
            <w:tcW w:w="1155" w:type="pct"/>
            <w:gridSpan w:val="3"/>
            <w:tcBorders>
              <w:top w:val="nil"/>
              <w:left w:val="nil"/>
              <w:bottom w:val="nil"/>
              <w:right w:val="nil"/>
            </w:tcBorders>
            <w:vAlign w:val="bottom"/>
            <w:hideMark/>
          </w:tcPr>
          <w:p w14:paraId="0E2AEC2B"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1FB2E188"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2C82D50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2329F65"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02763EE6" w14:textId="77777777" w:rsidTr="00331E72">
        <w:trPr>
          <w:trHeight w:val="900"/>
        </w:trPr>
        <w:tc>
          <w:tcPr>
            <w:tcW w:w="1155" w:type="pct"/>
            <w:gridSpan w:val="3"/>
            <w:tcBorders>
              <w:top w:val="nil"/>
              <w:left w:val="nil"/>
              <w:bottom w:val="nil"/>
              <w:right w:val="nil"/>
            </w:tcBorders>
            <w:vAlign w:val="bottom"/>
            <w:hideMark/>
          </w:tcPr>
          <w:p w14:paraId="033D93F5" w14:textId="77777777" w:rsidR="00855036" w:rsidRPr="00855036" w:rsidRDefault="00855036" w:rsidP="00855036">
            <w:pPr>
              <w:jc w:val="center"/>
              <w:rPr>
                <w:rFonts w:ascii="Calibri" w:eastAsia="Times New Roman" w:hAnsi="Calibri" w:cs="Calibri"/>
                <w:b/>
                <w:bCs/>
                <w:color w:val="4F81BD"/>
                <w:kern w:val="0"/>
                <w:sz w:val="63"/>
                <w:szCs w:val="63"/>
                <w14:ligatures w14:val="none"/>
              </w:rPr>
            </w:pPr>
            <w:r w:rsidRPr="00855036">
              <w:rPr>
                <w:rFonts w:ascii="Calibri" w:eastAsia="Times New Roman" w:hAnsi="Calibri" w:cs="Calibri"/>
                <w:b/>
                <w:bCs/>
                <w:color w:val="EE0000"/>
                <w:kern w:val="0"/>
                <w:sz w:val="63"/>
                <w:szCs w:val="63"/>
                <w14:ligatures w14:val="none"/>
              </w:rPr>
              <w:t>$1.58</w:t>
            </w:r>
          </w:p>
        </w:tc>
        <w:tc>
          <w:tcPr>
            <w:tcW w:w="2428" w:type="pct"/>
            <w:gridSpan w:val="3"/>
            <w:tcBorders>
              <w:top w:val="nil"/>
              <w:left w:val="nil"/>
              <w:bottom w:val="nil"/>
              <w:right w:val="nil"/>
            </w:tcBorders>
            <w:vAlign w:val="center"/>
            <w:hideMark/>
          </w:tcPr>
          <w:p w14:paraId="6C61C9E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The October average price per gallon of diesel in California eased 2 cents from September to $5.14.  The California regulatory and tax premium above the average for the US other than California ($3.55) rose to $1.58, a 44.5% difference.</w:t>
            </w:r>
          </w:p>
        </w:tc>
        <w:tc>
          <w:tcPr>
            <w:tcW w:w="724" w:type="pct"/>
            <w:tcBorders>
              <w:top w:val="nil"/>
              <w:left w:val="nil"/>
              <w:bottom w:val="nil"/>
              <w:right w:val="nil"/>
            </w:tcBorders>
            <w:vAlign w:val="center"/>
            <w:hideMark/>
          </w:tcPr>
          <w:p w14:paraId="7E8BDA6B"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vAlign w:val="center"/>
            <w:hideMark/>
          </w:tcPr>
          <w:p w14:paraId="5647257E"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F5E4EB7" w14:textId="77777777" w:rsidTr="00331E72">
        <w:trPr>
          <w:trHeight w:val="900"/>
        </w:trPr>
        <w:tc>
          <w:tcPr>
            <w:tcW w:w="1155" w:type="pct"/>
            <w:gridSpan w:val="3"/>
            <w:tcBorders>
              <w:top w:val="nil"/>
              <w:left w:val="nil"/>
              <w:bottom w:val="nil"/>
              <w:right w:val="nil"/>
            </w:tcBorders>
            <w:vAlign w:val="bottom"/>
            <w:hideMark/>
          </w:tcPr>
          <w:p w14:paraId="0D57B528"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Price Per Gallon</w:t>
            </w:r>
            <w:r w:rsidRPr="00855036">
              <w:rPr>
                <w:rFonts w:ascii="Calibri" w:eastAsia="Times New Roman" w:hAnsi="Calibri" w:cs="Calibri"/>
                <w:color w:val="000000"/>
                <w:kern w:val="0"/>
                <w14:ligatures w14:val="none"/>
              </w:rPr>
              <w:br/>
              <w:t>Above Other States</w:t>
            </w:r>
            <w:r w:rsidRPr="00855036">
              <w:rPr>
                <w:rFonts w:ascii="Calibri" w:eastAsia="Times New Roman" w:hAnsi="Calibri" w:cs="Calibri"/>
                <w:color w:val="000000"/>
                <w:kern w:val="0"/>
                <w14:ligatures w14:val="none"/>
              </w:rPr>
              <w:br/>
              <w:t xml:space="preserve">(CA Average) </w:t>
            </w:r>
          </w:p>
        </w:tc>
        <w:tc>
          <w:tcPr>
            <w:tcW w:w="2428" w:type="pct"/>
            <w:gridSpan w:val="3"/>
            <w:tcBorders>
              <w:top w:val="nil"/>
              <w:left w:val="nil"/>
              <w:bottom w:val="nil"/>
              <w:right w:val="nil"/>
            </w:tcBorders>
            <w:vAlign w:val="center"/>
            <w:hideMark/>
          </w:tcPr>
          <w:p w14:paraId="78CD6A77" w14:textId="77777777" w:rsidR="00855036" w:rsidRPr="00855036" w:rsidRDefault="00855036" w:rsidP="00855036">
            <w:pPr>
              <w:jc w:val="center"/>
              <w:rPr>
                <w:rFonts w:ascii="Calibri" w:eastAsia="Times New Roman" w:hAnsi="Calibri" w:cs="Calibri"/>
                <w:color w:val="000000"/>
                <w:kern w:val="0"/>
                <w14:ligatures w14:val="none"/>
              </w:rPr>
            </w:pPr>
          </w:p>
        </w:tc>
        <w:tc>
          <w:tcPr>
            <w:tcW w:w="724" w:type="pct"/>
            <w:tcBorders>
              <w:top w:val="nil"/>
              <w:left w:val="nil"/>
              <w:bottom w:val="nil"/>
              <w:right w:val="nil"/>
            </w:tcBorders>
            <w:vAlign w:val="center"/>
            <w:hideMark/>
          </w:tcPr>
          <w:p w14:paraId="7B7A4B2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center"/>
            <w:hideMark/>
          </w:tcPr>
          <w:p w14:paraId="1DA14845"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EA18266" w14:textId="77777777" w:rsidTr="00331E72">
        <w:trPr>
          <w:trHeight w:val="300"/>
        </w:trPr>
        <w:tc>
          <w:tcPr>
            <w:tcW w:w="1155" w:type="pct"/>
            <w:gridSpan w:val="3"/>
            <w:tcBorders>
              <w:top w:val="nil"/>
              <w:left w:val="nil"/>
              <w:bottom w:val="nil"/>
              <w:right w:val="nil"/>
            </w:tcBorders>
            <w:vAlign w:val="bottom"/>
            <w:hideMark/>
          </w:tcPr>
          <w:p w14:paraId="6FFE9F8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163B61E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7F279CA0"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2DB0B1CB"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8DAFE7D" w14:textId="77777777" w:rsidTr="00331E72">
        <w:trPr>
          <w:trHeight w:val="810"/>
        </w:trPr>
        <w:tc>
          <w:tcPr>
            <w:tcW w:w="1155" w:type="pct"/>
            <w:gridSpan w:val="3"/>
            <w:tcBorders>
              <w:top w:val="nil"/>
              <w:left w:val="nil"/>
              <w:bottom w:val="nil"/>
              <w:right w:val="nil"/>
            </w:tcBorders>
            <w:vAlign w:val="bottom"/>
            <w:hideMark/>
          </w:tcPr>
          <w:p w14:paraId="45147219"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t>1st</w:t>
            </w:r>
          </w:p>
        </w:tc>
        <w:tc>
          <w:tcPr>
            <w:tcW w:w="2428" w:type="pct"/>
            <w:gridSpan w:val="3"/>
            <w:tcBorders>
              <w:top w:val="nil"/>
              <w:left w:val="nil"/>
              <w:bottom w:val="nil"/>
              <w:right w:val="nil"/>
            </w:tcBorders>
            <w:vAlign w:val="center"/>
            <w:hideMark/>
          </w:tcPr>
          <w:p w14:paraId="3C6A0A6A"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In October, California had the highest diesel price among the contiguous states and DC.</w:t>
            </w:r>
          </w:p>
        </w:tc>
        <w:tc>
          <w:tcPr>
            <w:tcW w:w="724" w:type="pct"/>
            <w:tcBorders>
              <w:top w:val="nil"/>
              <w:left w:val="nil"/>
              <w:bottom w:val="nil"/>
              <w:right w:val="nil"/>
            </w:tcBorders>
            <w:vAlign w:val="center"/>
            <w:hideMark/>
          </w:tcPr>
          <w:p w14:paraId="4B1E5C79"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vAlign w:val="center"/>
            <w:hideMark/>
          </w:tcPr>
          <w:p w14:paraId="66CE713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B837EA0" w14:textId="77777777" w:rsidTr="00331E72">
        <w:trPr>
          <w:trHeight w:val="600"/>
        </w:trPr>
        <w:tc>
          <w:tcPr>
            <w:tcW w:w="1155" w:type="pct"/>
            <w:gridSpan w:val="3"/>
            <w:tcBorders>
              <w:top w:val="nil"/>
              <w:left w:val="nil"/>
              <w:bottom w:val="nil"/>
              <w:right w:val="nil"/>
            </w:tcBorders>
            <w:vAlign w:val="bottom"/>
            <w:hideMark/>
          </w:tcPr>
          <w:p w14:paraId="2461C645"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Ranked by </w:t>
            </w:r>
            <w:r w:rsidRPr="00855036">
              <w:rPr>
                <w:rFonts w:ascii="Calibri" w:eastAsia="Times New Roman" w:hAnsi="Calibri" w:cs="Calibri"/>
                <w:color w:val="000000"/>
                <w:kern w:val="0"/>
                <w14:ligatures w14:val="none"/>
              </w:rPr>
              <w:br/>
              <w:t>price</w:t>
            </w:r>
          </w:p>
        </w:tc>
        <w:tc>
          <w:tcPr>
            <w:tcW w:w="2428" w:type="pct"/>
            <w:gridSpan w:val="3"/>
            <w:tcBorders>
              <w:top w:val="nil"/>
              <w:left w:val="nil"/>
              <w:bottom w:val="nil"/>
              <w:right w:val="nil"/>
            </w:tcBorders>
            <w:vAlign w:val="center"/>
            <w:hideMark/>
          </w:tcPr>
          <w:p w14:paraId="56001C22" w14:textId="77777777" w:rsidR="00855036" w:rsidRPr="00855036" w:rsidRDefault="00855036" w:rsidP="00855036">
            <w:pPr>
              <w:jc w:val="center"/>
              <w:rPr>
                <w:rFonts w:ascii="Calibri" w:eastAsia="Times New Roman" w:hAnsi="Calibri" w:cs="Calibri"/>
                <w:color w:val="000000"/>
                <w:kern w:val="0"/>
                <w14:ligatures w14:val="none"/>
              </w:rPr>
            </w:pPr>
          </w:p>
        </w:tc>
        <w:tc>
          <w:tcPr>
            <w:tcW w:w="724" w:type="pct"/>
            <w:tcBorders>
              <w:top w:val="nil"/>
              <w:left w:val="nil"/>
              <w:bottom w:val="nil"/>
              <w:right w:val="nil"/>
            </w:tcBorders>
            <w:vAlign w:val="bottom"/>
            <w:hideMark/>
          </w:tcPr>
          <w:p w14:paraId="5D4420B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19A8CB14"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44BC81B" w14:textId="77777777" w:rsidTr="00331E72">
        <w:trPr>
          <w:trHeight w:val="300"/>
        </w:trPr>
        <w:tc>
          <w:tcPr>
            <w:tcW w:w="1155" w:type="pct"/>
            <w:gridSpan w:val="3"/>
            <w:tcBorders>
              <w:top w:val="nil"/>
              <w:left w:val="nil"/>
              <w:bottom w:val="nil"/>
              <w:right w:val="nil"/>
            </w:tcBorders>
            <w:vAlign w:val="bottom"/>
            <w:hideMark/>
          </w:tcPr>
          <w:p w14:paraId="7E9DC17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0513466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4F808701"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center"/>
            <w:hideMark/>
          </w:tcPr>
          <w:p w14:paraId="10C803F0"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EC7AFF2" w14:textId="77777777" w:rsidTr="00E01FE2">
        <w:trPr>
          <w:trHeight w:val="630"/>
        </w:trPr>
        <w:tc>
          <w:tcPr>
            <w:tcW w:w="5000" w:type="pct"/>
            <w:gridSpan w:val="8"/>
            <w:tcBorders>
              <w:top w:val="nil"/>
              <w:left w:val="nil"/>
              <w:bottom w:val="nil"/>
              <w:right w:val="nil"/>
            </w:tcBorders>
            <w:vAlign w:val="bottom"/>
            <w:hideMark/>
          </w:tcPr>
          <w:p w14:paraId="4A489D4F"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 xml:space="preserve">Range Between Highest and Lowest Prices by Region </w:t>
            </w:r>
          </w:p>
        </w:tc>
      </w:tr>
      <w:tr w:rsidR="00855036" w:rsidRPr="00855036" w14:paraId="3B2E9DD0" w14:textId="77777777" w:rsidTr="00331E72">
        <w:trPr>
          <w:trHeight w:val="300"/>
        </w:trPr>
        <w:tc>
          <w:tcPr>
            <w:tcW w:w="1155" w:type="pct"/>
            <w:gridSpan w:val="3"/>
            <w:tcBorders>
              <w:top w:val="nil"/>
              <w:left w:val="nil"/>
              <w:bottom w:val="nil"/>
              <w:right w:val="nil"/>
            </w:tcBorders>
            <w:vAlign w:val="bottom"/>
            <w:hideMark/>
          </w:tcPr>
          <w:p w14:paraId="2DB5C55C"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noWrap/>
            <w:vAlign w:val="bottom"/>
            <w:hideMark/>
          </w:tcPr>
          <w:p w14:paraId="31612A39"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779D915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2DD9F21"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6F6FBED" w14:textId="77777777" w:rsidTr="00331E72">
        <w:trPr>
          <w:trHeight w:val="1200"/>
        </w:trPr>
        <w:tc>
          <w:tcPr>
            <w:tcW w:w="1155" w:type="pct"/>
            <w:gridSpan w:val="3"/>
            <w:tcBorders>
              <w:top w:val="nil"/>
              <w:left w:val="nil"/>
              <w:bottom w:val="nil"/>
              <w:right w:val="nil"/>
            </w:tcBorders>
            <w:vAlign w:val="bottom"/>
            <w:hideMark/>
          </w:tcPr>
          <w:p w14:paraId="066912E7" w14:textId="77777777" w:rsidR="00855036" w:rsidRPr="00855036" w:rsidRDefault="00855036" w:rsidP="00855036">
            <w:pPr>
              <w:jc w:val="center"/>
              <w:rPr>
                <w:rFonts w:ascii="Calibri" w:eastAsia="Times New Roman" w:hAnsi="Calibri" w:cs="Calibri"/>
                <w:b/>
                <w:bCs/>
                <w:color w:val="4F81BD"/>
                <w:kern w:val="0"/>
                <w:sz w:val="63"/>
                <w:szCs w:val="63"/>
                <w14:ligatures w14:val="none"/>
              </w:rPr>
            </w:pPr>
            <w:r w:rsidRPr="00855036">
              <w:rPr>
                <w:rFonts w:ascii="Calibri" w:eastAsia="Times New Roman" w:hAnsi="Calibri" w:cs="Calibri"/>
                <w:b/>
                <w:bCs/>
                <w:color w:val="EE0000"/>
                <w:kern w:val="0"/>
                <w:sz w:val="63"/>
                <w:szCs w:val="63"/>
                <w14:ligatures w14:val="none"/>
              </w:rPr>
              <w:t>$1.91</w:t>
            </w:r>
          </w:p>
        </w:tc>
        <w:tc>
          <w:tcPr>
            <w:tcW w:w="2428" w:type="pct"/>
            <w:gridSpan w:val="3"/>
            <w:tcBorders>
              <w:top w:val="nil"/>
              <w:left w:val="nil"/>
              <w:bottom w:val="nil"/>
              <w:right w:val="nil"/>
            </w:tcBorders>
            <w:vAlign w:val="center"/>
            <w:hideMark/>
          </w:tcPr>
          <w:p w14:paraId="0806CF56"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The cost premium above the US (other than California) average price for regular gasoline ranged from $1.58 in the Central Valley Region (average October price of $4.52), to $1.91 in Central Sierra Region (average October price of $4.85). </w:t>
            </w:r>
          </w:p>
        </w:tc>
        <w:tc>
          <w:tcPr>
            <w:tcW w:w="724" w:type="pct"/>
            <w:tcBorders>
              <w:top w:val="nil"/>
              <w:left w:val="nil"/>
              <w:bottom w:val="nil"/>
              <w:right w:val="nil"/>
            </w:tcBorders>
            <w:vAlign w:val="center"/>
            <w:hideMark/>
          </w:tcPr>
          <w:p w14:paraId="084CB830"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vAlign w:val="center"/>
            <w:hideMark/>
          </w:tcPr>
          <w:p w14:paraId="0242C7C8"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6AC9FBE" w14:textId="77777777" w:rsidTr="00331E72">
        <w:trPr>
          <w:trHeight w:val="900"/>
        </w:trPr>
        <w:tc>
          <w:tcPr>
            <w:tcW w:w="1155" w:type="pct"/>
            <w:gridSpan w:val="3"/>
            <w:tcBorders>
              <w:top w:val="nil"/>
              <w:left w:val="nil"/>
              <w:bottom w:val="nil"/>
              <w:right w:val="nil"/>
            </w:tcBorders>
            <w:vAlign w:val="bottom"/>
            <w:hideMark/>
          </w:tcPr>
          <w:p w14:paraId="5C2B9CBF"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Price per Gallon above Other States (Central Sierra Region)</w:t>
            </w:r>
          </w:p>
        </w:tc>
        <w:tc>
          <w:tcPr>
            <w:tcW w:w="2428" w:type="pct"/>
            <w:gridSpan w:val="3"/>
            <w:tcBorders>
              <w:top w:val="nil"/>
              <w:left w:val="nil"/>
              <w:bottom w:val="nil"/>
              <w:right w:val="nil"/>
            </w:tcBorders>
            <w:vAlign w:val="center"/>
            <w:hideMark/>
          </w:tcPr>
          <w:p w14:paraId="10294094" w14:textId="77777777" w:rsidR="00855036" w:rsidRPr="00855036" w:rsidRDefault="00855036" w:rsidP="00855036">
            <w:pPr>
              <w:jc w:val="center"/>
              <w:rPr>
                <w:rFonts w:ascii="Calibri" w:eastAsia="Times New Roman" w:hAnsi="Calibri" w:cs="Calibri"/>
                <w:color w:val="000000"/>
                <w:kern w:val="0"/>
                <w14:ligatures w14:val="none"/>
              </w:rPr>
            </w:pPr>
          </w:p>
        </w:tc>
        <w:tc>
          <w:tcPr>
            <w:tcW w:w="724" w:type="pct"/>
            <w:tcBorders>
              <w:top w:val="nil"/>
              <w:left w:val="nil"/>
              <w:bottom w:val="nil"/>
              <w:right w:val="nil"/>
            </w:tcBorders>
            <w:vAlign w:val="center"/>
            <w:hideMark/>
          </w:tcPr>
          <w:p w14:paraId="199F248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center"/>
            <w:hideMark/>
          </w:tcPr>
          <w:p w14:paraId="09499382"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02F1C21D" w14:textId="77777777" w:rsidTr="00331E72">
        <w:trPr>
          <w:trHeight w:val="300"/>
        </w:trPr>
        <w:tc>
          <w:tcPr>
            <w:tcW w:w="1155" w:type="pct"/>
            <w:gridSpan w:val="3"/>
            <w:tcBorders>
              <w:top w:val="nil"/>
              <w:left w:val="nil"/>
              <w:bottom w:val="nil"/>
              <w:right w:val="nil"/>
            </w:tcBorders>
            <w:vAlign w:val="bottom"/>
            <w:hideMark/>
          </w:tcPr>
          <w:p w14:paraId="07791AB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4C03688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39CEC34A" w14:textId="77777777" w:rsidR="00855036" w:rsidRPr="00855036" w:rsidRDefault="00855036" w:rsidP="00855036">
            <w:pPr>
              <w:jc w:val="cente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bottom"/>
            <w:hideMark/>
          </w:tcPr>
          <w:p w14:paraId="4C26AE19" w14:textId="77777777" w:rsidR="00855036" w:rsidRPr="00855036" w:rsidRDefault="00855036" w:rsidP="00855036">
            <w:pPr>
              <w:jc w:val="center"/>
              <w:rPr>
                <w:rFonts w:ascii="Times New Roman" w:eastAsia="Times New Roman" w:hAnsi="Times New Roman" w:cs="Times New Roman"/>
                <w:kern w:val="0"/>
                <w:sz w:val="20"/>
                <w:szCs w:val="20"/>
                <w14:ligatures w14:val="none"/>
              </w:rPr>
            </w:pPr>
          </w:p>
        </w:tc>
      </w:tr>
      <w:tr w:rsidR="00855036" w:rsidRPr="00855036" w14:paraId="007F84E0" w14:textId="77777777" w:rsidTr="00E01FE2">
        <w:trPr>
          <w:trHeight w:val="645"/>
        </w:trPr>
        <w:tc>
          <w:tcPr>
            <w:tcW w:w="5000" w:type="pct"/>
            <w:gridSpan w:val="8"/>
            <w:tcBorders>
              <w:top w:val="nil"/>
              <w:left w:val="nil"/>
              <w:bottom w:val="nil"/>
              <w:right w:val="nil"/>
            </w:tcBorders>
            <w:vAlign w:val="center"/>
            <w:hideMark/>
          </w:tcPr>
          <w:p w14:paraId="0FB07B86" w14:textId="77777777" w:rsidR="00855036" w:rsidRPr="00855036" w:rsidRDefault="00855036" w:rsidP="00855036">
            <w:pPr>
              <w:rPr>
                <w:rFonts w:ascii="Georgia" w:eastAsia="Times New Roman" w:hAnsi="Georgia" w:cs="Calibri"/>
                <w:b/>
                <w:bCs/>
                <w:color w:val="000000"/>
                <w:kern w:val="0"/>
                <w:sz w:val="36"/>
                <w:szCs w:val="36"/>
                <w14:ligatures w14:val="none"/>
              </w:rPr>
            </w:pPr>
            <w:bookmarkStart w:id="0" w:name="_Hlk213416682"/>
            <w:r w:rsidRPr="00855036">
              <w:rPr>
                <w:rFonts w:ascii="Georgia" w:eastAsia="Times New Roman" w:hAnsi="Georgia" w:cs="Calibri"/>
                <w:b/>
                <w:bCs/>
                <w:color w:val="000000"/>
                <w:kern w:val="0"/>
                <w:sz w:val="36"/>
                <w:szCs w:val="36"/>
                <w14:ligatures w14:val="none"/>
              </w:rPr>
              <w:t xml:space="preserve">Highest/Lowest Fuel Prices by Legislative District: </w:t>
            </w:r>
          </w:p>
        </w:tc>
      </w:tr>
      <w:tr w:rsidR="00855036" w:rsidRPr="00855036" w14:paraId="30200878" w14:textId="77777777" w:rsidTr="00331E72">
        <w:trPr>
          <w:trHeight w:val="300"/>
        </w:trPr>
        <w:tc>
          <w:tcPr>
            <w:tcW w:w="1155" w:type="pct"/>
            <w:gridSpan w:val="3"/>
            <w:tcBorders>
              <w:top w:val="nil"/>
              <w:left w:val="nil"/>
              <w:bottom w:val="nil"/>
              <w:right w:val="nil"/>
            </w:tcBorders>
            <w:vAlign w:val="bottom"/>
            <w:hideMark/>
          </w:tcPr>
          <w:p w14:paraId="37192A8A"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5B81CD91"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1DB82C6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D8B9D58"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8C0D9EC" w14:textId="77777777" w:rsidTr="00331E72">
        <w:trPr>
          <w:trHeight w:val="300"/>
        </w:trPr>
        <w:tc>
          <w:tcPr>
            <w:tcW w:w="3583" w:type="pct"/>
            <w:gridSpan w:val="6"/>
            <w:tcBorders>
              <w:top w:val="nil"/>
              <w:left w:val="nil"/>
              <w:bottom w:val="nil"/>
              <w:right w:val="nil"/>
            </w:tcBorders>
            <w:vAlign w:val="bottom"/>
            <w:hideMark/>
          </w:tcPr>
          <w:p w14:paraId="57F1B2B8" w14:textId="77777777" w:rsidR="00855036" w:rsidRPr="00855036" w:rsidRDefault="00855036" w:rsidP="00855036">
            <w:pPr>
              <w:rPr>
                <w:rFonts w:ascii="Calibri" w:eastAsia="Times New Roman" w:hAnsi="Calibri" w:cs="Calibri"/>
                <w:b/>
                <w:bCs/>
                <w:color w:val="000000"/>
                <w:kern w:val="0"/>
                <w14:ligatures w14:val="none"/>
              </w:rPr>
            </w:pPr>
            <w:r w:rsidRPr="00855036">
              <w:rPr>
                <w:rFonts w:ascii="Calibri" w:eastAsia="Times New Roman" w:hAnsi="Calibri" w:cs="Calibri"/>
                <w:b/>
                <w:bCs/>
                <w:color w:val="000000"/>
                <w:kern w:val="0"/>
                <w14:ligatures w14:val="none"/>
              </w:rPr>
              <w:t>October 2025:  Average Price ($ per gallon) of Regular Gasoline</w:t>
            </w:r>
          </w:p>
        </w:tc>
        <w:tc>
          <w:tcPr>
            <w:tcW w:w="724" w:type="pct"/>
            <w:tcBorders>
              <w:top w:val="nil"/>
              <w:left w:val="nil"/>
              <w:bottom w:val="nil"/>
              <w:right w:val="nil"/>
            </w:tcBorders>
            <w:vAlign w:val="bottom"/>
            <w:hideMark/>
          </w:tcPr>
          <w:p w14:paraId="6E620F7D" w14:textId="77777777" w:rsidR="00855036" w:rsidRPr="00855036" w:rsidRDefault="00855036" w:rsidP="00855036">
            <w:pPr>
              <w:rPr>
                <w:rFonts w:ascii="Calibri" w:eastAsia="Times New Roman" w:hAnsi="Calibri" w:cs="Calibri"/>
                <w:b/>
                <w:bCs/>
                <w:color w:val="000000"/>
                <w:kern w:val="0"/>
                <w14:ligatures w14:val="none"/>
              </w:rPr>
            </w:pPr>
          </w:p>
        </w:tc>
        <w:tc>
          <w:tcPr>
            <w:tcW w:w="693" w:type="pct"/>
            <w:tcBorders>
              <w:top w:val="nil"/>
              <w:left w:val="nil"/>
              <w:bottom w:val="nil"/>
              <w:right w:val="nil"/>
            </w:tcBorders>
            <w:noWrap/>
            <w:vAlign w:val="bottom"/>
            <w:hideMark/>
          </w:tcPr>
          <w:p w14:paraId="42F915A9"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667B7F4" w14:textId="77777777" w:rsidTr="00331E72">
        <w:trPr>
          <w:trHeight w:val="300"/>
        </w:trPr>
        <w:tc>
          <w:tcPr>
            <w:tcW w:w="1155" w:type="pct"/>
            <w:gridSpan w:val="3"/>
            <w:tcBorders>
              <w:top w:val="nil"/>
              <w:left w:val="nil"/>
              <w:bottom w:val="nil"/>
              <w:right w:val="nil"/>
            </w:tcBorders>
            <w:vAlign w:val="bottom"/>
            <w:hideMark/>
          </w:tcPr>
          <w:p w14:paraId="4975114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2B254CEE"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5105026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483A0F3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5B1629C" w14:textId="77777777" w:rsidTr="00331E72">
        <w:trPr>
          <w:trHeight w:val="300"/>
        </w:trPr>
        <w:tc>
          <w:tcPr>
            <w:tcW w:w="1155" w:type="pct"/>
            <w:gridSpan w:val="3"/>
            <w:tcBorders>
              <w:top w:val="nil"/>
              <w:left w:val="nil"/>
              <w:bottom w:val="nil"/>
              <w:right w:val="nil"/>
            </w:tcBorders>
            <w:vAlign w:val="bottom"/>
            <w:hideMark/>
          </w:tcPr>
          <w:p w14:paraId="04090434"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68F2FC68" w14:textId="77777777" w:rsidR="00855036" w:rsidRPr="00855036" w:rsidRDefault="00855036" w:rsidP="00855036">
            <w:pPr>
              <w:rPr>
                <w:rFonts w:ascii="Calibri" w:eastAsia="Times New Roman" w:hAnsi="Calibri" w:cs="Calibri"/>
                <w:i/>
                <w:iCs/>
                <w:color w:val="000000"/>
                <w:kern w:val="0"/>
                <w14:ligatures w14:val="none"/>
              </w:rPr>
            </w:pPr>
            <w:r w:rsidRPr="00855036">
              <w:rPr>
                <w:rFonts w:ascii="Calibri" w:eastAsia="Times New Roman" w:hAnsi="Calibri" w:cs="Calibri"/>
                <w:i/>
                <w:iCs/>
                <w:color w:val="000000"/>
                <w:kern w:val="0"/>
                <w14:ligatures w14:val="none"/>
              </w:rPr>
              <w:t>Highest</w:t>
            </w:r>
          </w:p>
        </w:tc>
        <w:tc>
          <w:tcPr>
            <w:tcW w:w="724" w:type="pct"/>
            <w:tcBorders>
              <w:top w:val="nil"/>
              <w:left w:val="nil"/>
              <w:bottom w:val="nil"/>
              <w:right w:val="nil"/>
            </w:tcBorders>
            <w:vAlign w:val="bottom"/>
            <w:hideMark/>
          </w:tcPr>
          <w:p w14:paraId="4CCA007D" w14:textId="77777777" w:rsidR="00855036" w:rsidRPr="00855036" w:rsidRDefault="00855036" w:rsidP="00855036">
            <w:pPr>
              <w:rPr>
                <w:rFonts w:ascii="Calibri" w:eastAsia="Times New Roman" w:hAnsi="Calibri" w:cs="Calibri"/>
                <w:i/>
                <w:iCs/>
                <w:color w:val="000000"/>
                <w:kern w:val="0"/>
                <w14:ligatures w14:val="none"/>
              </w:rPr>
            </w:pPr>
          </w:p>
        </w:tc>
        <w:tc>
          <w:tcPr>
            <w:tcW w:w="693" w:type="pct"/>
            <w:tcBorders>
              <w:top w:val="nil"/>
              <w:left w:val="nil"/>
              <w:bottom w:val="nil"/>
              <w:right w:val="nil"/>
            </w:tcBorders>
            <w:noWrap/>
            <w:vAlign w:val="bottom"/>
            <w:hideMark/>
          </w:tcPr>
          <w:p w14:paraId="7C81AC0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DE75922" w14:textId="77777777" w:rsidTr="00331E72">
        <w:trPr>
          <w:trHeight w:val="465"/>
        </w:trPr>
        <w:tc>
          <w:tcPr>
            <w:tcW w:w="1155" w:type="pct"/>
            <w:gridSpan w:val="3"/>
            <w:tcBorders>
              <w:top w:val="nil"/>
              <w:left w:val="nil"/>
              <w:bottom w:val="nil"/>
              <w:right w:val="nil"/>
            </w:tcBorders>
            <w:vAlign w:val="bottom"/>
            <w:hideMark/>
          </w:tcPr>
          <w:p w14:paraId="5120BB0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CD02 Huffman (D)</w:t>
            </w:r>
          </w:p>
        </w:tc>
        <w:tc>
          <w:tcPr>
            <w:tcW w:w="2428" w:type="pct"/>
            <w:gridSpan w:val="3"/>
            <w:tcBorders>
              <w:top w:val="nil"/>
              <w:left w:val="nil"/>
              <w:bottom w:val="nil"/>
              <w:right w:val="nil"/>
            </w:tcBorders>
            <w:vAlign w:val="bottom"/>
            <w:hideMark/>
          </w:tcPr>
          <w:p w14:paraId="6FB4233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$4.87</w:t>
            </w:r>
          </w:p>
        </w:tc>
        <w:tc>
          <w:tcPr>
            <w:tcW w:w="724" w:type="pct"/>
            <w:tcBorders>
              <w:top w:val="nil"/>
              <w:left w:val="nil"/>
              <w:bottom w:val="nil"/>
              <w:right w:val="nil"/>
            </w:tcBorders>
            <w:vAlign w:val="bottom"/>
            <w:hideMark/>
          </w:tcPr>
          <w:p w14:paraId="6CB87BE7"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7C76354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2265296F" w14:textId="77777777" w:rsidTr="00331E72">
        <w:trPr>
          <w:trHeight w:val="300"/>
        </w:trPr>
        <w:tc>
          <w:tcPr>
            <w:tcW w:w="1155" w:type="pct"/>
            <w:gridSpan w:val="3"/>
            <w:tcBorders>
              <w:top w:val="nil"/>
              <w:left w:val="nil"/>
              <w:bottom w:val="nil"/>
              <w:right w:val="nil"/>
            </w:tcBorders>
            <w:vAlign w:val="bottom"/>
            <w:hideMark/>
          </w:tcPr>
          <w:p w14:paraId="0F5353EF"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CD30 Friedman (D)</w:t>
            </w:r>
          </w:p>
        </w:tc>
        <w:tc>
          <w:tcPr>
            <w:tcW w:w="2428" w:type="pct"/>
            <w:gridSpan w:val="3"/>
            <w:tcBorders>
              <w:top w:val="nil"/>
              <w:left w:val="nil"/>
              <w:bottom w:val="nil"/>
              <w:right w:val="nil"/>
            </w:tcBorders>
            <w:vAlign w:val="bottom"/>
            <w:hideMark/>
          </w:tcPr>
          <w:p w14:paraId="0AC79E7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$4.84</w:t>
            </w:r>
          </w:p>
        </w:tc>
        <w:tc>
          <w:tcPr>
            <w:tcW w:w="724" w:type="pct"/>
            <w:tcBorders>
              <w:top w:val="nil"/>
              <w:left w:val="nil"/>
              <w:bottom w:val="nil"/>
              <w:right w:val="nil"/>
            </w:tcBorders>
            <w:vAlign w:val="bottom"/>
            <w:hideMark/>
          </w:tcPr>
          <w:p w14:paraId="2717F0C3"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5C7C2A07"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8DDF86C" w14:textId="77777777" w:rsidTr="00331E72">
        <w:trPr>
          <w:trHeight w:val="225"/>
        </w:trPr>
        <w:tc>
          <w:tcPr>
            <w:tcW w:w="1155" w:type="pct"/>
            <w:gridSpan w:val="3"/>
            <w:tcBorders>
              <w:top w:val="nil"/>
              <w:left w:val="nil"/>
              <w:bottom w:val="nil"/>
              <w:right w:val="nil"/>
            </w:tcBorders>
            <w:vAlign w:val="bottom"/>
            <w:hideMark/>
          </w:tcPr>
          <w:p w14:paraId="1DF3477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CD50 Peters (D)</w:t>
            </w:r>
          </w:p>
        </w:tc>
        <w:tc>
          <w:tcPr>
            <w:tcW w:w="2428" w:type="pct"/>
            <w:gridSpan w:val="3"/>
            <w:tcBorders>
              <w:top w:val="nil"/>
              <w:left w:val="nil"/>
              <w:bottom w:val="nil"/>
              <w:right w:val="nil"/>
            </w:tcBorders>
            <w:vAlign w:val="bottom"/>
            <w:hideMark/>
          </w:tcPr>
          <w:p w14:paraId="1909664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$4.84</w:t>
            </w:r>
          </w:p>
        </w:tc>
        <w:tc>
          <w:tcPr>
            <w:tcW w:w="724" w:type="pct"/>
            <w:tcBorders>
              <w:top w:val="nil"/>
              <w:left w:val="nil"/>
              <w:bottom w:val="nil"/>
              <w:right w:val="nil"/>
            </w:tcBorders>
            <w:vAlign w:val="bottom"/>
            <w:hideMark/>
          </w:tcPr>
          <w:p w14:paraId="18A5F85B"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2357BD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2A74BF1F" w14:textId="77777777" w:rsidTr="00331E72">
        <w:trPr>
          <w:trHeight w:val="300"/>
        </w:trPr>
        <w:tc>
          <w:tcPr>
            <w:tcW w:w="1155" w:type="pct"/>
            <w:gridSpan w:val="3"/>
            <w:tcBorders>
              <w:top w:val="nil"/>
              <w:left w:val="nil"/>
              <w:bottom w:val="nil"/>
              <w:right w:val="nil"/>
            </w:tcBorders>
            <w:vAlign w:val="bottom"/>
            <w:hideMark/>
          </w:tcPr>
          <w:p w14:paraId="06901BF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CD03 Kiley (R)</w:t>
            </w:r>
          </w:p>
        </w:tc>
        <w:tc>
          <w:tcPr>
            <w:tcW w:w="2428" w:type="pct"/>
            <w:gridSpan w:val="3"/>
            <w:tcBorders>
              <w:top w:val="nil"/>
              <w:left w:val="nil"/>
              <w:bottom w:val="nil"/>
              <w:right w:val="nil"/>
            </w:tcBorders>
            <w:vAlign w:val="bottom"/>
            <w:hideMark/>
          </w:tcPr>
          <w:p w14:paraId="618E305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$4.80</w:t>
            </w:r>
          </w:p>
        </w:tc>
        <w:tc>
          <w:tcPr>
            <w:tcW w:w="724" w:type="pct"/>
            <w:tcBorders>
              <w:top w:val="nil"/>
              <w:left w:val="nil"/>
              <w:bottom w:val="nil"/>
              <w:right w:val="nil"/>
            </w:tcBorders>
            <w:vAlign w:val="bottom"/>
            <w:hideMark/>
          </w:tcPr>
          <w:p w14:paraId="26E26B3B"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57386B2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4D072A0" w14:textId="77777777" w:rsidTr="00331E72">
        <w:trPr>
          <w:trHeight w:val="300"/>
        </w:trPr>
        <w:tc>
          <w:tcPr>
            <w:tcW w:w="1155" w:type="pct"/>
            <w:gridSpan w:val="3"/>
            <w:tcBorders>
              <w:top w:val="nil"/>
              <w:left w:val="nil"/>
              <w:bottom w:val="nil"/>
              <w:right w:val="nil"/>
            </w:tcBorders>
            <w:vAlign w:val="bottom"/>
            <w:hideMark/>
          </w:tcPr>
          <w:p w14:paraId="5BD4C1F5"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CD49 Levin (D)</w:t>
            </w:r>
          </w:p>
        </w:tc>
        <w:tc>
          <w:tcPr>
            <w:tcW w:w="2428" w:type="pct"/>
            <w:gridSpan w:val="3"/>
            <w:tcBorders>
              <w:top w:val="nil"/>
              <w:left w:val="nil"/>
              <w:bottom w:val="nil"/>
              <w:right w:val="nil"/>
            </w:tcBorders>
            <w:vAlign w:val="bottom"/>
            <w:hideMark/>
          </w:tcPr>
          <w:p w14:paraId="0C21A89A"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$4.80</w:t>
            </w:r>
          </w:p>
        </w:tc>
        <w:tc>
          <w:tcPr>
            <w:tcW w:w="724" w:type="pct"/>
            <w:tcBorders>
              <w:top w:val="nil"/>
              <w:left w:val="nil"/>
              <w:bottom w:val="nil"/>
              <w:right w:val="nil"/>
            </w:tcBorders>
            <w:vAlign w:val="bottom"/>
            <w:hideMark/>
          </w:tcPr>
          <w:p w14:paraId="024DD233"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7E858F1E"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21BA112" w14:textId="77777777" w:rsidTr="00331E72">
        <w:trPr>
          <w:trHeight w:val="66"/>
        </w:trPr>
        <w:tc>
          <w:tcPr>
            <w:tcW w:w="1155" w:type="pct"/>
            <w:gridSpan w:val="3"/>
            <w:tcBorders>
              <w:top w:val="nil"/>
              <w:left w:val="nil"/>
              <w:bottom w:val="nil"/>
              <w:right w:val="nil"/>
            </w:tcBorders>
            <w:vAlign w:val="bottom"/>
            <w:hideMark/>
          </w:tcPr>
          <w:p w14:paraId="2BCA574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0C8392B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2E9F5DD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2E04DF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EBA370C" w14:textId="77777777" w:rsidTr="00331E72">
        <w:trPr>
          <w:trHeight w:val="300"/>
        </w:trPr>
        <w:tc>
          <w:tcPr>
            <w:tcW w:w="1155" w:type="pct"/>
            <w:gridSpan w:val="3"/>
            <w:tcBorders>
              <w:top w:val="nil"/>
              <w:left w:val="nil"/>
              <w:bottom w:val="nil"/>
              <w:right w:val="nil"/>
            </w:tcBorders>
            <w:vAlign w:val="bottom"/>
            <w:hideMark/>
          </w:tcPr>
          <w:p w14:paraId="58FF0D0C"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SD24 Allen (D)</w:t>
            </w:r>
          </w:p>
        </w:tc>
        <w:tc>
          <w:tcPr>
            <w:tcW w:w="2428" w:type="pct"/>
            <w:gridSpan w:val="3"/>
            <w:tcBorders>
              <w:top w:val="nil"/>
              <w:left w:val="nil"/>
              <w:bottom w:val="nil"/>
              <w:right w:val="nil"/>
            </w:tcBorders>
            <w:vAlign w:val="bottom"/>
            <w:hideMark/>
          </w:tcPr>
          <w:p w14:paraId="4BA47993"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$4.83</w:t>
            </w:r>
          </w:p>
        </w:tc>
        <w:tc>
          <w:tcPr>
            <w:tcW w:w="724" w:type="pct"/>
            <w:tcBorders>
              <w:top w:val="nil"/>
              <w:left w:val="nil"/>
              <w:bottom w:val="nil"/>
              <w:right w:val="nil"/>
            </w:tcBorders>
            <w:vAlign w:val="bottom"/>
            <w:hideMark/>
          </w:tcPr>
          <w:p w14:paraId="7FD8CBAC"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B0A8C6E"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E9AE751" w14:textId="77777777" w:rsidTr="00331E72">
        <w:trPr>
          <w:trHeight w:val="252"/>
        </w:trPr>
        <w:tc>
          <w:tcPr>
            <w:tcW w:w="1155" w:type="pct"/>
            <w:gridSpan w:val="3"/>
            <w:tcBorders>
              <w:top w:val="nil"/>
              <w:left w:val="nil"/>
              <w:bottom w:val="nil"/>
              <w:right w:val="nil"/>
            </w:tcBorders>
            <w:vAlign w:val="bottom"/>
            <w:hideMark/>
          </w:tcPr>
          <w:p w14:paraId="68DE8E1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SD02 McGuire (D)</w:t>
            </w:r>
          </w:p>
        </w:tc>
        <w:tc>
          <w:tcPr>
            <w:tcW w:w="2428" w:type="pct"/>
            <w:gridSpan w:val="3"/>
            <w:tcBorders>
              <w:top w:val="nil"/>
              <w:left w:val="nil"/>
              <w:bottom w:val="nil"/>
              <w:right w:val="nil"/>
            </w:tcBorders>
            <w:vAlign w:val="bottom"/>
            <w:hideMark/>
          </w:tcPr>
          <w:p w14:paraId="3CFDF42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$4.81</w:t>
            </w:r>
          </w:p>
        </w:tc>
        <w:tc>
          <w:tcPr>
            <w:tcW w:w="724" w:type="pct"/>
            <w:tcBorders>
              <w:top w:val="nil"/>
              <w:left w:val="nil"/>
              <w:bottom w:val="nil"/>
              <w:right w:val="nil"/>
            </w:tcBorders>
            <w:vAlign w:val="bottom"/>
            <w:hideMark/>
          </w:tcPr>
          <w:p w14:paraId="758D4ACB"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87B55E4"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16FE841" w14:textId="77777777" w:rsidTr="00331E72">
        <w:trPr>
          <w:trHeight w:val="630"/>
        </w:trPr>
        <w:tc>
          <w:tcPr>
            <w:tcW w:w="1155" w:type="pct"/>
            <w:gridSpan w:val="3"/>
            <w:tcBorders>
              <w:top w:val="nil"/>
              <w:left w:val="nil"/>
              <w:bottom w:val="nil"/>
              <w:right w:val="nil"/>
            </w:tcBorders>
            <w:vAlign w:val="bottom"/>
            <w:hideMark/>
          </w:tcPr>
          <w:p w14:paraId="57A8DFF2"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SD38 Blakespear (D)</w:t>
            </w:r>
          </w:p>
        </w:tc>
        <w:tc>
          <w:tcPr>
            <w:tcW w:w="2428" w:type="pct"/>
            <w:gridSpan w:val="3"/>
            <w:tcBorders>
              <w:top w:val="nil"/>
              <w:left w:val="nil"/>
              <w:bottom w:val="nil"/>
              <w:right w:val="nil"/>
            </w:tcBorders>
            <w:vAlign w:val="bottom"/>
            <w:hideMark/>
          </w:tcPr>
          <w:p w14:paraId="04A438BC"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$4.80</w:t>
            </w:r>
          </w:p>
        </w:tc>
        <w:tc>
          <w:tcPr>
            <w:tcW w:w="724" w:type="pct"/>
            <w:tcBorders>
              <w:top w:val="nil"/>
              <w:left w:val="nil"/>
              <w:bottom w:val="nil"/>
              <w:right w:val="nil"/>
            </w:tcBorders>
            <w:vAlign w:val="bottom"/>
            <w:hideMark/>
          </w:tcPr>
          <w:p w14:paraId="2B213467"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3E41E6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0B2154FC" w14:textId="77777777" w:rsidTr="00331E72">
        <w:trPr>
          <w:trHeight w:val="300"/>
        </w:trPr>
        <w:tc>
          <w:tcPr>
            <w:tcW w:w="1155" w:type="pct"/>
            <w:gridSpan w:val="3"/>
            <w:tcBorders>
              <w:top w:val="nil"/>
              <w:left w:val="nil"/>
              <w:bottom w:val="nil"/>
              <w:right w:val="nil"/>
            </w:tcBorders>
            <w:vAlign w:val="bottom"/>
            <w:hideMark/>
          </w:tcPr>
          <w:p w14:paraId="4D2DE95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SD39 Weber (D)</w:t>
            </w:r>
          </w:p>
        </w:tc>
        <w:tc>
          <w:tcPr>
            <w:tcW w:w="2428" w:type="pct"/>
            <w:gridSpan w:val="3"/>
            <w:tcBorders>
              <w:top w:val="nil"/>
              <w:left w:val="nil"/>
              <w:bottom w:val="nil"/>
              <w:right w:val="nil"/>
            </w:tcBorders>
            <w:vAlign w:val="bottom"/>
            <w:hideMark/>
          </w:tcPr>
          <w:p w14:paraId="755DA5BD"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$4.80</w:t>
            </w:r>
          </w:p>
        </w:tc>
        <w:tc>
          <w:tcPr>
            <w:tcW w:w="724" w:type="pct"/>
            <w:tcBorders>
              <w:top w:val="nil"/>
              <w:left w:val="nil"/>
              <w:bottom w:val="nil"/>
              <w:right w:val="nil"/>
            </w:tcBorders>
            <w:vAlign w:val="bottom"/>
            <w:hideMark/>
          </w:tcPr>
          <w:p w14:paraId="24AC3C86"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7E9A93B4"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79A5F19" w14:textId="77777777" w:rsidTr="00331E72">
        <w:trPr>
          <w:trHeight w:val="345"/>
        </w:trPr>
        <w:tc>
          <w:tcPr>
            <w:tcW w:w="1155" w:type="pct"/>
            <w:gridSpan w:val="3"/>
            <w:tcBorders>
              <w:top w:val="nil"/>
              <w:left w:val="nil"/>
              <w:bottom w:val="nil"/>
              <w:right w:val="nil"/>
            </w:tcBorders>
            <w:vAlign w:val="bottom"/>
            <w:hideMark/>
          </w:tcPr>
          <w:p w14:paraId="18C5ECF0"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SD17 Laird (D)</w:t>
            </w:r>
          </w:p>
        </w:tc>
        <w:tc>
          <w:tcPr>
            <w:tcW w:w="2428" w:type="pct"/>
            <w:gridSpan w:val="3"/>
            <w:tcBorders>
              <w:top w:val="nil"/>
              <w:left w:val="nil"/>
              <w:bottom w:val="nil"/>
              <w:right w:val="nil"/>
            </w:tcBorders>
            <w:vAlign w:val="bottom"/>
            <w:hideMark/>
          </w:tcPr>
          <w:p w14:paraId="7C1F7F2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$4.77</w:t>
            </w:r>
          </w:p>
        </w:tc>
        <w:tc>
          <w:tcPr>
            <w:tcW w:w="724" w:type="pct"/>
            <w:tcBorders>
              <w:top w:val="nil"/>
              <w:left w:val="nil"/>
              <w:bottom w:val="nil"/>
              <w:right w:val="nil"/>
            </w:tcBorders>
            <w:vAlign w:val="bottom"/>
            <w:hideMark/>
          </w:tcPr>
          <w:p w14:paraId="5F5E4F23"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00EECA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D420D62" w14:textId="77777777" w:rsidTr="00331E72">
        <w:trPr>
          <w:trHeight w:val="300"/>
        </w:trPr>
        <w:tc>
          <w:tcPr>
            <w:tcW w:w="1155" w:type="pct"/>
            <w:gridSpan w:val="3"/>
            <w:tcBorders>
              <w:top w:val="nil"/>
              <w:left w:val="nil"/>
              <w:bottom w:val="nil"/>
              <w:right w:val="nil"/>
            </w:tcBorders>
            <w:vAlign w:val="bottom"/>
            <w:hideMark/>
          </w:tcPr>
          <w:p w14:paraId="183F090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454A9EFF"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5AC278B9"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19E341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7EAA679" w14:textId="77777777" w:rsidTr="00331E72">
        <w:trPr>
          <w:trHeight w:val="300"/>
        </w:trPr>
        <w:tc>
          <w:tcPr>
            <w:tcW w:w="1155" w:type="pct"/>
            <w:gridSpan w:val="3"/>
            <w:tcBorders>
              <w:top w:val="nil"/>
              <w:left w:val="nil"/>
              <w:bottom w:val="nil"/>
              <w:right w:val="nil"/>
            </w:tcBorders>
            <w:vAlign w:val="bottom"/>
            <w:hideMark/>
          </w:tcPr>
          <w:p w14:paraId="4A084224"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AD02 Rogers (D)</w:t>
            </w:r>
          </w:p>
        </w:tc>
        <w:tc>
          <w:tcPr>
            <w:tcW w:w="2428" w:type="pct"/>
            <w:gridSpan w:val="3"/>
            <w:tcBorders>
              <w:top w:val="nil"/>
              <w:left w:val="nil"/>
              <w:bottom w:val="nil"/>
              <w:right w:val="nil"/>
            </w:tcBorders>
            <w:vAlign w:val="bottom"/>
            <w:hideMark/>
          </w:tcPr>
          <w:p w14:paraId="39DE3B3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$4.91</w:t>
            </w:r>
          </w:p>
        </w:tc>
        <w:tc>
          <w:tcPr>
            <w:tcW w:w="724" w:type="pct"/>
            <w:tcBorders>
              <w:top w:val="nil"/>
              <w:left w:val="nil"/>
              <w:bottom w:val="nil"/>
              <w:right w:val="nil"/>
            </w:tcBorders>
            <w:vAlign w:val="bottom"/>
            <w:hideMark/>
          </w:tcPr>
          <w:p w14:paraId="1D937D09"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E308EF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04C5ABF4" w14:textId="77777777" w:rsidTr="00331E72">
        <w:trPr>
          <w:trHeight w:val="330"/>
        </w:trPr>
        <w:tc>
          <w:tcPr>
            <w:tcW w:w="1155" w:type="pct"/>
            <w:gridSpan w:val="3"/>
            <w:tcBorders>
              <w:top w:val="nil"/>
              <w:left w:val="nil"/>
              <w:bottom w:val="nil"/>
              <w:right w:val="nil"/>
            </w:tcBorders>
            <w:vAlign w:val="bottom"/>
            <w:hideMark/>
          </w:tcPr>
          <w:p w14:paraId="300167F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AD51 Zbur (D)</w:t>
            </w:r>
          </w:p>
        </w:tc>
        <w:tc>
          <w:tcPr>
            <w:tcW w:w="2428" w:type="pct"/>
            <w:gridSpan w:val="3"/>
            <w:tcBorders>
              <w:top w:val="nil"/>
              <w:left w:val="nil"/>
              <w:bottom w:val="nil"/>
              <w:right w:val="nil"/>
            </w:tcBorders>
            <w:vAlign w:val="bottom"/>
            <w:hideMark/>
          </w:tcPr>
          <w:p w14:paraId="40FF54AA"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$4.90</w:t>
            </w:r>
          </w:p>
        </w:tc>
        <w:tc>
          <w:tcPr>
            <w:tcW w:w="724" w:type="pct"/>
            <w:tcBorders>
              <w:top w:val="nil"/>
              <w:left w:val="nil"/>
              <w:bottom w:val="nil"/>
              <w:right w:val="nil"/>
            </w:tcBorders>
            <w:vAlign w:val="bottom"/>
            <w:hideMark/>
          </w:tcPr>
          <w:p w14:paraId="1E5FCBFC"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5C214E4C"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6576107" w14:textId="77777777" w:rsidTr="00331E72">
        <w:trPr>
          <w:trHeight w:val="180"/>
        </w:trPr>
        <w:tc>
          <w:tcPr>
            <w:tcW w:w="1155" w:type="pct"/>
            <w:gridSpan w:val="3"/>
            <w:tcBorders>
              <w:top w:val="nil"/>
              <w:left w:val="nil"/>
              <w:bottom w:val="nil"/>
              <w:right w:val="nil"/>
            </w:tcBorders>
            <w:vAlign w:val="bottom"/>
            <w:hideMark/>
          </w:tcPr>
          <w:p w14:paraId="2E626A2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AD77 Boerner (D)</w:t>
            </w:r>
          </w:p>
        </w:tc>
        <w:tc>
          <w:tcPr>
            <w:tcW w:w="2428" w:type="pct"/>
            <w:gridSpan w:val="3"/>
            <w:tcBorders>
              <w:top w:val="nil"/>
              <w:left w:val="nil"/>
              <w:bottom w:val="nil"/>
              <w:right w:val="nil"/>
            </w:tcBorders>
            <w:vAlign w:val="bottom"/>
            <w:hideMark/>
          </w:tcPr>
          <w:p w14:paraId="108F7B6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$4.89</w:t>
            </w:r>
          </w:p>
        </w:tc>
        <w:tc>
          <w:tcPr>
            <w:tcW w:w="724" w:type="pct"/>
            <w:tcBorders>
              <w:top w:val="nil"/>
              <w:left w:val="nil"/>
              <w:bottom w:val="nil"/>
              <w:right w:val="nil"/>
            </w:tcBorders>
            <w:vAlign w:val="bottom"/>
            <w:hideMark/>
          </w:tcPr>
          <w:p w14:paraId="6B7E6726"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6B480E3E"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7EEFC32" w14:textId="77777777" w:rsidTr="00331E72">
        <w:trPr>
          <w:trHeight w:val="279"/>
        </w:trPr>
        <w:tc>
          <w:tcPr>
            <w:tcW w:w="1155" w:type="pct"/>
            <w:gridSpan w:val="3"/>
            <w:tcBorders>
              <w:top w:val="nil"/>
              <w:left w:val="nil"/>
              <w:bottom w:val="nil"/>
              <w:right w:val="nil"/>
            </w:tcBorders>
            <w:vAlign w:val="bottom"/>
            <w:hideMark/>
          </w:tcPr>
          <w:p w14:paraId="213210CD"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AD30 Addis (D)</w:t>
            </w:r>
          </w:p>
        </w:tc>
        <w:tc>
          <w:tcPr>
            <w:tcW w:w="2428" w:type="pct"/>
            <w:gridSpan w:val="3"/>
            <w:tcBorders>
              <w:top w:val="nil"/>
              <w:left w:val="nil"/>
              <w:bottom w:val="nil"/>
              <w:right w:val="nil"/>
            </w:tcBorders>
            <w:vAlign w:val="bottom"/>
            <w:hideMark/>
          </w:tcPr>
          <w:p w14:paraId="18BB585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$4.87</w:t>
            </w:r>
          </w:p>
        </w:tc>
        <w:tc>
          <w:tcPr>
            <w:tcW w:w="724" w:type="pct"/>
            <w:tcBorders>
              <w:top w:val="nil"/>
              <w:left w:val="nil"/>
              <w:bottom w:val="nil"/>
              <w:right w:val="nil"/>
            </w:tcBorders>
            <w:noWrap/>
            <w:vAlign w:val="bottom"/>
            <w:hideMark/>
          </w:tcPr>
          <w:p w14:paraId="663919EF"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7A4CA3B"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C63B5A0" w14:textId="77777777" w:rsidTr="00331E72">
        <w:trPr>
          <w:trHeight w:val="300"/>
        </w:trPr>
        <w:tc>
          <w:tcPr>
            <w:tcW w:w="1155" w:type="pct"/>
            <w:gridSpan w:val="3"/>
            <w:tcBorders>
              <w:top w:val="nil"/>
              <w:left w:val="nil"/>
              <w:bottom w:val="nil"/>
              <w:right w:val="nil"/>
            </w:tcBorders>
            <w:vAlign w:val="bottom"/>
            <w:hideMark/>
          </w:tcPr>
          <w:p w14:paraId="364DDDEF"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AD78 Ward (D)</w:t>
            </w:r>
          </w:p>
        </w:tc>
        <w:tc>
          <w:tcPr>
            <w:tcW w:w="2428" w:type="pct"/>
            <w:gridSpan w:val="3"/>
            <w:tcBorders>
              <w:top w:val="nil"/>
              <w:left w:val="nil"/>
              <w:bottom w:val="nil"/>
              <w:right w:val="nil"/>
            </w:tcBorders>
            <w:vAlign w:val="bottom"/>
            <w:hideMark/>
          </w:tcPr>
          <w:p w14:paraId="6447F682"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$4.85</w:t>
            </w:r>
          </w:p>
        </w:tc>
        <w:tc>
          <w:tcPr>
            <w:tcW w:w="724" w:type="pct"/>
            <w:tcBorders>
              <w:top w:val="nil"/>
              <w:left w:val="nil"/>
              <w:bottom w:val="nil"/>
              <w:right w:val="nil"/>
            </w:tcBorders>
            <w:noWrap/>
            <w:vAlign w:val="bottom"/>
            <w:hideMark/>
          </w:tcPr>
          <w:p w14:paraId="37C8CD84"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2D811732"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EC68EA8" w14:textId="77777777" w:rsidTr="00331E72">
        <w:trPr>
          <w:trHeight w:val="420"/>
        </w:trPr>
        <w:tc>
          <w:tcPr>
            <w:tcW w:w="1155" w:type="pct"/>
            <w:gridSpan w:val="3"/>
            <w:tcBorders>
              <w:top w:val="nil"/>
              <w:left w:val="nil"/>
              <w:bottom w:val="nil"/>
              <w:right w:val="nil"/>
            </w:tcBorders>
            <w:vAlign w:val="bottom"/>
            <w:hideMark/>
          </w:tcPr>
          <w:p w14:paraId="283B9A8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11A34FD6" w14:textId="77777777" w:rsidR="00855036" w:rsidRPr="00855036" w:rsidRDefault="00855036" w:rsidP="00855036">
            <w:pPr>
              <w:rPr>
                <w:rFonts w:ascii="Calibri" w:eastAsia="Times New Roman" w:hAnsi="Calibri" w:cs="Calibri"/>
                <w:i/>
                <w:iCs/>
                <w:color w:val="000000"/>
                <w:kern w:val="0"/>
                <w14:ligatures w14:val="none"/>
              </w:rPr>
            </w:pPr>
            <w:r w:rsidRPr="00855036">
              <w:rPr>
                <w:rFonts w:ascii="Calibri" w:eastAsia="Times New Roman" w:hAnsi="Calibri" w:cs="Calibri"/>
                <w:i/>
                <w:iCs/>
                <w:color w:val="000000"/>
                <w:kern w:val="0"/>
                <w14:ligatures w14:val="none"/>
              </w:rPr>
              <w:t>Lowest</w:t>
            </w:r>
          </w:p>
        </w:tc>
        <w:tc>
          <w:tcPr>
            <w:tcW w:w="724" w:type="pct"/>
            <w:tcBorders>
              <w:top w:val="nil"/>
              <w:left w:val="nil"/>
              <w:bottom w:val="nil"/>
              <w:right w:val="nil"/>
            </w:tcBorders>
            <w:noWrap/>
            <w:vAlign w:val="bottom"/>
            <w:hideMark/>
          </w:tcPr>
          <w:p w14:paraId="413A79B7" w14:textId="77777777" w:rsidR="00855036" w:rsidRPr="00855036" w:rsidRDefault="00855036" w:rsidP="00855036">
            <w:pPr>
              <w:rPr>
                <w:rFonts w:ascii="Calibri" w:eastAsia="Times New Roman" w:hAnsi="Calibri" w:cs="Calibri"/>
                <w:i/>
                <w:iCs/>
                <w:color w:val="000000"/>
                <w:kern w:val="0"/>
                <w14:ligatures w14:val="none"/>
              </w:rPr>
            </w:pPr>
          </w:p>
        </w:tc>
        <w:tc>
          <w:tcPr>
            <w:tcW w:w="693" w:type="pct"/>
            <w:tcBorders>
              <w:top w:val="nil"/>
              <w:left w:val="nil"/>
              <w:bottom w:val="nil"/>
              <w:right w:val="nil"/>
            </w:tcBorders>
            <w:noWrap/>
            <w:vAlign w:val="bottom"/>
            <w:hideMark/>
          </w:tcPr>
          <w:p w14:paraId="7B5C4B6D"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6AFABD5" w14:textId="77777777" w:rsidTr="00331E72">
        <w:trPr>
          <w:trHeight w:val="480"/>
        </w:trPr>
        <w:tc>
          <w:tcPr>
            <w:tcW w:w="1155" w:type="pct"/>
            <w:gridSpan w:val="3"/>
            <w:tcBorders>
              <w:top w:val="nil"/>
              <w:left w:val="nil"/>
              <w:bottom w:val="nil"/>
              <w:right w:val="nil"/>
            </w:tcBorders>
            <w:vAlign w:val="bottom"/>
            <w:hideMark/>
          </w:tcPr>
          <w:p w14:paraId="425B98D3"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CD21 Costa (D)</w:t>
            </w:r>
          </w:p>
        </w:tc>
        <w:tc>
          <w:tcPr>
            <w:tcW w:w="2428" w:type="pct"/>
            <w:gridSpan w:val="3"/>
            <w:tcBorders>
              <w:top w:val="nil"/>
              <w:left w:val="nil"/>
              <w:bottom w:val="nil"/>
              <w:right w:val="nil"/>
            </w:tcBorders>
            <w:vAlign w:val="bottom"/>
            <w:hideMark/>
          </w:tcPr>
          <w:p w14:paraId="4F02AFA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$4.51</w:t>
            </w:r>
          </w:p>
        </w:tc>
        <w:tc>
          <w:tcPr>
            <w:tcW w:w="724" w:type="pct"/>
            <w:tcBorders>
              <w:top w:val="nil"/>
              <w:left w:val="nil"/>
              <w:bottom w:val="nil"/>
              <w:right w:val="nil"/>
            </w:tcBorders>
            <w:noWrap/>
            <w:vAlign w:val="bottom"/>
            <w:hideMark/>
          </w:tcPr>
          <w:p w14:paraId="351A04DE"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2399902"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57633E3" w14:textId="77777777" w:rsidTr="00331E72">
        <w:trPr>
          <w:trHeight w:val="315"/>
        </w:trPr>
        <w:tc>
          <w:tcPr>
            <w:tcW w:w="1155" w:type="pct"/>
            <w:gridSpan w:val="3"/>
            <w:tcBorders>
              <w:top w:val="nil"/>
              <w:left w:val="nil"/>
              <w:bottom w:val="nil"/>
              <w:right w:val="nil"/>
            </w:tcBorders>
            <w:vAlign w:val="bottom"/>
            <w:hideMark/>
          </w:tcPr>
          <w:p w14:paraId="0C5FD682"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CD06 Bera (D)</w:t>
            </w:r>
          </w:p>
        </w:tc>
        <w:tc>
          <w:tcPr>
            <w:tcW w:w="2428" w:type="pct"/>
            <w:gridSpan w:val="3"/>
            <w:tcBorders>
              <w:top w:val="nil"/>
              <w:left w:val="nil"/>
              <w:bottom w:val="nil"/>
              <w:right w:val="nil"/>
            </w:tcBorders>
            <w:vAlign w:val="bottom"/>
            <w:hideMark/>
          </w:tcPr>
          <w:p w14:paraId="53B501A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$4.51</w:t>
            </w:r>
          </w:p>
        </w:tc>
        <w:tc>
          <w:tcPr>
            <w:tcW w:w="724" w:type="pct"/>
            <w:tcBorders>
              <w:top w:val="nil"/>
              <w:left w:val="nil"/>
              <w:bottom w:val="nil"/>
              <w:right w:val="nil"/>
            </w:tcBorders>
            <w:noWrap/>
            <w:vAlign w:val="bottom"/>
            <w:hideMark/>
          </w:tcPr>
          <w:p w14:paraId="620E62D9"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5CF31B9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A0CE8F6" w14:textId="77777777" w:rsidTr="00331E72">
        <w:trPr>
          <w:trHeight w:val="369"/>
        </w:trPr>
        <w:tc>
          <w:tcPr>
            <w:tcW w:w="1155" w:type="pct"/>
            <w:gridSpan w:val="3"/>
            <w:tcBorders>
              <w:top w:val="nil"/>
              <w:left w:val="nil"/>
              <w:bottom w:val="nil"/>
              <w:right w:val="nil"/>
            </w:tcBorders>
            <w:vAlign w:val="bottom"/>
            <w:hideMark/>
          </w:tcPr>
          <w:p w14:paraId="52B188F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CD22 Valadao (R)</w:t>
            </w:r>
          </w:p>
        </w:tc>
        <w:tc>
          <w:tcPr>
            <w:tcW w:w="2428" w:type="pct"/>
            <w:gridSpan w:val="3"/>
            <w:tcBorders>
              <w:top w:val="nil"/>
              <w:left w:val="nil"/>
              <w:bottom w:val="nil"/>
              <w:right w:val="nil"/>
            </w:tcBorders>
            <w:vAlign w:val="bottom"/>
            <w:hideMark/>
          </w:tcPr>
          <w:p w14:paraId="7FE07585"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$4.48</w:t>
            </w:r>
          </w:p>
        </w:tc>
        <w:tc>
          <w:tcPr>
            <w:tcW w:w="724" w:type="pct"/>
            <w:tcBorders>
              <w:top w:val="nil"/>
              <w:left w:val="nil"/>
              <w:bottom w:val="nil"/>
              <w:right w:val="nil"/>
            </w:tcBorders>
            <w:noWrap/>
            <w:vAlign w:val="bottom"/>
            <w:hideMark/>
          </w:tcPr>
          <w:p w14:paraId="610970F1"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23EB0AE"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440045E" w14:textId="77777777" w:rsidTr="00331E72">
        <w:trPr>
          <w:trHeight w:val="345"/>
        </w:trPr>
        <w:tc>
          <w:tcPr>
            <w:tcW w:w="1155" w:type="pct"/>
            <w:gridSpan w:val="3"/>
            <w:tcBorders>
              <w:top w:val="nil"/>
              <w:left w:val="nil"/>
              <w:bottom w:val="nil"/>
              <w:right w:val="nil"/>
            </w:tcBorders>
            <w:vAlign w:val="bottom"/>
            <w:hideMark/>
          </w:tcPr>
          <w:p w14:paraId="5C5218D5"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CD01 LaMalfa (R)</w:t>
            </w:r>
          </w:p>
        </w:tc>
        <w:tc>
          <w:tcPr>
            <w:tcW w:w="2428" w:type="pct"/>
            <w:gridSpan w:val="3"/>
            <w:tcBorders>
              <w:top w:val="nil"/>
              <w:left w:val="nil"/>
              <w:bottom w:val="nil"/>
              <w:right w:val="nil"/>
            </w:tcBorders>
            <w:vAlign w:val="bottom"/>
            <w:hideMark/>
          </w:tcPr>
          <w:p w14:paraId="548F79C5"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$4.46</w:t>
            </w:r>
          </w:p>
        </w:tc>
        <w:tc>
          <w:tcPr>
            <w:tcW w:w="724" w:type="pct"/>
            <w:tcBorders>
              <w:top w:val="nil"/>
              <w:left w:val="nil"/>
              <w:bottom w:val="nil"/>
              <w:right w:val="nil"/>
            </w:tcBorders>
            <w:noWrap/>
            <w:vAlign w:val="bottom"/>
            <w:hideMark/>
          </w:tcPr>
          <w:p w14:paraId="1F3F64F8"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5E112ED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DB679F2" w14:textId="77777777" w:rsidTr="00331E72">
        <w:trPr>
          <w:trHeight w:val="288"/>
        </w:trPr>
        <w:tc>
          <w:tcPr>
            <w:tcW w:w="1155" w:type="pct"/>
            <w:gridSpan w:val="3"/>
            <w:tcBorders>
              <w:top w:val="nil"/>
              <w:left w:val="nil"/>
              <w:bottom w:val="nil"/>
              <w:right w:val="nil"/>
            </w:tcBorders>
            <w:vAlign w:val="bottom"/>
            <w:hideMark/>
          </w:tcPr>
          <w:p w14:paraId="36F45E72"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CD09 Harder (D)</w:t>
            </w:r>
          </w:p>
        </w:tc>
        <w:tc>
          <w:tcPr>
            <w:tcW w:w="2428" w:type="pct"/>
            <w:gridSpan w:val="3"/>
            <w:tcBorders>
              <w:top w:val="nil"/>
              <w:left w:val="nil"/>
              <w:bottom w:val="nil"/>
              <w:right w:val="nil"/>
            </w:tcBorders>
            <w:vAlign w:val="bottom"/>
            <w:hideMark/>
          </w:tcPr>
          <w:p w14:paraId="57D7FC2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$4.46</w:t>
            </w:r>
          </w:p>
        </w:tc>
        <w:tc>
          <w:tcPr>
            <w:tcW w:w="724" w:type="pct"/>
            <w:tcBorders>
              <w:top w:val="nil"/>
              <w:left w:val="nil"/>
              <w:bottom w:val="nil"/>
              <w:right w:val="nil"/>
            </w:tcBorders>
            <w:noWrap/>
            <w:vAlign w:val="bottom"/>
            <w:hideMark/>
          </w:tcPr>
          <w:p w14:paraId="13F13B9D"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2888A88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E2DADEC" w14:textId="77777777" w:rsidTr="00331E72">
        <w:trPr>
          <w:trHeight w:val="270"/>
        </w:trPr>
        <w:tc>
          <w:tcPr>
            <w:tcW w:w="1155" w:type="pct"/>
            <w:gridSpan w:val="3"/>
            <w:tcBorders>
              <w:top w:val="nil"/>
              <w:left w:val="nil"/>
              <w:bottom w:val="nil"/>
              <w:right w:val="nil"/>
            </w:tcBorders>
            <w:vAlign w:val="bottom"/>
            <w:hideMark/>
          </w:tcPr>
          <w:p w14:paraId="7C70FB2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noWrap/>
            <w:vAlign w:val="bottom"/>
            <w:hideMark/>
          </w:tcPr>
          <w:p w14:paraId="155FD087"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17CF77EE"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D38915F"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81D2816" w14:textId="77777777" w:rsidTr="00331E72">
        <w:trPr>
          <w:trHeight w:val="66"/>
        </w:trPr>
        <w:tc>
          <w:tcPr>
            <w:tcW w:w="1155" w:type="pct"/>
            <w:gridSpan w:val="3"/>
            <w:tcBorders>
              <w:top w:val="nil"/>
              <w:left w:val="nil"/>
              <w:bottom w:val="nil"/>
              <w:right w:val="nil"/>
            </w:tcBorders>
            <w:vAlign w:val="bottom"/>
            <w:hideMark/>
          </w:tcPr>
          <w:p w14:paraId="49760A5B"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SD08 Ashby (D)</w:t>
            </w:r>
          </w:p>
        </w:tc>
        <w:tc>
          <w:tcPr>
            <w:tcW w:w="2428" w:type="pct"/>
            <w:gridSpan w:val="3"/>
            <w:tcBorders>
              <w:top w:val="nil"/>
              <w:left w:val="nil"/>
              <w:bottom w:val="nil"/>
              <w:right w:val="nil"/>
            </w:tcBorders>
            <w:vAlign w:val="bottom"/>
            <w:hideMark/>
          </w:tcPr>
          <w:p w14:paraId="507813CF"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$4.53</w:t>
            </w:r>
          </w:p>
        </w:tc>
        <w:tc>
          <w:tcPr>
            <w:tcW w:w="724" w:type="pct"/>
            <w:tcBorders>
              <w:top w:val="nil"/>
              <w:left w:val="nil"/>
              <w:bottom w:val="nil"/>
              <w:right w:val="nil"/>
            </w:tcBorders>
            <w:noWrap/>
            <w:vAlign w:val="bottom"/>
            <w:hideMark/>
          </w:tcPr>
          <w:p w14:paraId="299CC25E"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7DD965A3"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5E968FE" w14:textId="77777777" w:rsidTr="00331E72">
        <w:trPr>
          <w:trHeight w:val="99"/>
        </w:trPr>
        <w:tc>
          <w:tcPr>
            <w:tcW w:w="1155" w:type="pct"/>
            <w:gridSpan w:val="3"/>
            <w:tcBorders>
              <w:top w:val="nil"/>
              <w:left w:val="nil"/>
              <w:bottom w:val="nil"/>
              <w:right w:val="nil"/>
            </w:tcBorders>
            <w:vAlign w:val="bottom"/>
            <w:hideMark/>
          </w:tcPr>
          <w:p w14:paraId="31978FDC"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SD29 Reyes (D)</w:t>
            </w:r>
          </w:p>
        </w:tc>
        <w:tc>
          <w:tcPr>
            <w:tcW w:w="2428" w:type="pct"/>
            <w:gridSpan w:val="3"/>
            <w:tcBorders>
              <w:top w:val="nil"/>
              <w:left w:val="nil"/>
              <w:bottom w:val="nil"/>
              <w:right w:val="nil"/>
            </w:tcBorders>
            <w:vAlign w:val="bottom"/>
            <w:hideMark/>
          </w:tcPr>
          <w:p w14:paraId="1E76C9C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$4.53</w:t>
            </w:r>
          </w:p>
        </w:tc>
        <w:tc>
          <w:tcPr>
            <w:tcW w:w="724" w:type="pct"/>
            <w:tcBorders>
              <w:top w:val="nil"/>
              <w:left w:val="nil"/>
              <w:bottom w:val="nil"/>
              <w:right w:val="nil"/>
            </w:tcBorders>
            <w:noWrap/>
            <w:vAlign w:val="bottom"/>
            <w:hideMark/>
          </w:tcPr>
          <w:p w14:paraId="4E27D5D9"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6943B7A7"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1DC2F97" w14:textId="77777777" w:rsidTr="00331E72">
        <w:trPr>
          <w:trHeight w:val="465"/>
        </w:trPr>
        <w:tc>
          <w:tcPr>
            <w:tcW w:w="1155" w:type="pct"/>
            <w:gridSpan w:val="3"/>
            <w:tcBorders>
              <w:top w:val="nil"/>
              <w:left w:val="nil"/>
              <w:bottom w:val="nil"/>
              <w:right w:val="nil"/>
            </w:tcBorders>
            <w:vAlign w:val="bottom"/>
            <w:hideMark/>
          </w:tcPr>
          <w:p w14:paraId="466DC49F"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SD05 McNerney (D)</w:t>
            </w:r>
          </w:p>
        </w:tc>
        <w:tc>
          <w:tcPr>
            <w:tcW w:w="2428" w:type="pct"/>
            <w:gridSpan w:val="3"/>
            <w:tcBorders>
              <w:top w:val="nil"/>
              <w:left w:val="nil"/>
              <w:bottom w:val="nil"/>
              <w:right w:val="nil"/>
            </w:tcBorders>
            <w:vAlign w:val="bottom"/>
            <w:hideMark/>
          </w:tcPr>
          <w:p w14:paraId="7C1CD443"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$4.52</w:t>
            </w:r>
          </w:p>
        </w:tc>
        <w:tc>
          <w:tcPr>
            <w:tcW w:w="724" w:type="pct"/>
            <w:tcBorders>
              <w:top w:val="nil"/>
              <w:left w:val="nil"/>
              <w:bottom w:val="nil"/>
              <w:right w:val="nil"/>
            </w:tcBorders>
            <w:noWrap/>
            <w:vAlign w:val="bottom"/>
            <w:hideMark/>
          </w:tcPr>
          <w:p w14:paraId="7907F9A2"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200C040"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6E71CAC" w14:textId="77777777" w:rsidTr="00331E72">
        <w:trPr>
          <w:trHeight w:val="288"/>
        </w:trPr>
        <w:tc>
          <w:tcPr>
            <w:tcW w:w="1155" w:type="pct"/>
            <w:gridSpan w:val="3"/>
            <w:tcBorders>
              <w:top w:val="nil"/>
              <w:left w:val="nil"/>
              <w:bottom w:val="nil"/>
              <w:right w:val="nil"/>
            </w:tcBorders>
            <w:vAlign w:val="bottom"/>
            <w:hideMark/>
          </w:tcPr>
          <w:p w14:paraId="671A939D"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SD01 Dahle (R)</w:t>
            </w:r>
          </w:p>
        </w:tc>
        <w:tc>
          <w:tcPr>
            <w:tcW w:w="2428" w:type="pct"/>
            <w:gridSpan w:val="3"/>
            <w:tcBorders>
              <w:top w:val="nil"/>
              <w:left w:val="nil"/>
              <w:bottom w:val="nil"/>
              <w:right w:val="nil"/>
            </w:tcBorders>
            <w:vAlign w:val="bottom"/>
            <w:hideMark/>
          </w:tcPr>
          <w:p w14:paraId="019DCD20"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$4.51</w:t>
            </w:r>
          </w:p>
        </w:tc>
        <w:tc>
          <w:tcPr>
            <w:tcW w:w="724" w:type="pct"/>
            <w:tcBorders>
              <w:top w:val="nil"/>
              <w:left w:val="nil"/>
              <w:bottom w:val="nil"/>
              <w:right w:val="nil"/>
            </w:tcBorders>
            <w:noWrap/>
            <w:vAlign w:val="bottom"/>
            <w:hideMark/>
          </w:tcPr>
          <w:p w14:paraId="1DD2E4FF"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EA7D019"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F32009A" w14:textId="77777777" w:rsidTr="00331E72">
        <w:trPr>
          <w:trHeight w:val="90"/>
        </w:trPr>
        <w:tc>
          <w:tcPr>
            <w:tcW w:w="1155" w:type="pct"/>
            <w:gridSpan w:val="3"/>
            <w:tcBorders>
              <w:top w:val="nil"/>
              <w:left w:val="nil"/>
              <w:bottom w:val="nil"/>
              <w:right w:val="nil"/>
            </w:tcBorders>
            <w:vAlign w:val="bottom"/>
            <w:hideMark/>
          </w:tcPr>
          <w:p w14:paraId="2B43BC84"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SD16 Hurtado (D)</w:t>
            </w:r>
          </w:p>
        </w:tc>
        <w:tc>
          <w:tcPr>
            <w:tcW w:w="2428" w:type="pct"/>
            <w:gridSpan w:val="3"/>
            <w:tcBorders>
              <w:top w:val="nil"/>
              <w:left w:val="nil"/>
              <w:bottom w:val="nil"/>
              <w:right w:val="nil"/>
            </w:tcBorders>
            <w:vAlign w:val="bottom"/>
            <w:hideMark/>
          </w:tcPr>
          <w:p w14:paraId="60A3D91C"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$4.45</w:t>
            </w:r>
          </w:p>
        </w:tc>
        <w:tc>
          <w:tcPr>
            <w:tcW w:w="724" w:type="pct"/>
            <w:tcBorders>
              <w:top w:val="nil"/>
              <w:left w:val="nil"/>
              <w:bottom w:val="nil"/>
              <w:right w:val="nil"/>
            </w:tcBorders>
            <w:noWrap/>
            <w:vAlign w:val="bottom"/>
            <w:hideMark/>
          </w:tcPr>
          <w:p w14:paraId="08CCFA1E"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3AA3F670"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EBEACAC" w14:textId="77777777" w:rsidTr="00331E72">
        <w:trPr>
          <w:trHeight w:val="180"/>
        </w:trPr>
        <w:tc>
          <w:tcPr>
            <w:tcW w:w="1155" w:type="pct"/>
            <w:gridSpan w:val="3"/>
            <w:tcBorders>
              <w:top w:val="nil"/>
              <w:left w:val="nil"/>
              <w:bottom w:val="nil"/>
              <w:right w:val="nil"/>
            </w:tcBorders>
            <w:vAlign w:val="bottom"/>
            <w:hideMark/>
          </w:tcPr>
          <w:p w14:paraId="7C4DEC95"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noWrap/>
            <w:vAlign w:val="bottom"/>
            <w:hideMark/>
          </w:tcPr>
          <w:p w14:paraId="547A0BC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6922069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963A50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D205A0F" w14:textId="77777777" w:rsidTr="00331E72">
        <w:trPr>
          <w:trHeight w:val="66"/>
        </w:trPr>
        <w:tc>
          <w:tcPr>
            <w:tcW w:w="1155" w:type="pct"/>
            <w:gridSpan w:val="3"/>
            <w:tcBorders>
              <w:top w:val="nil"/>
              <w:left w:val="nil"/>
              <w:bottom w:val="nil"/>
              <w:right w:val="nil"/>
            </w:tcBorders>
            <w:vAlign w:val="bottom"/>
            <w:hideMark/>
          </w:tcPr>
          <w:p w14:paraId="53F325FD"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AD33 Macedo (R)</w:t>
            </w:r>
          </w:p>
        </w:tc>
        <w:tc>
          <w:tcPr>
            <w:tcW w:w="2428" w:type="pct"/>
            <w:gridSpan w:val="3"/>
            <w:tcBorders>
              <w:top w:val="nil"/>
              <w:left w:val="nil"/>
              <w:bottom w:val="nil"/>
              <w:right w:val="nil"/>
            </w:tcBorders>
            <w:vAlign w:val="bottom"/>
            <w:hideMark/>
          </w:tcPr>
          <w:p w14:paraId="32053D24"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$4.47</w:t>
            </w:r>
          </w:p>
        </w:tc>
        <w:tc>
          <w:tcPr>
            <w:tcW w:w="724" w:type="pct"/>
            <w:tcBorders>
              <w:top w:val="nil"/>
              <w:left w:val="nil"/>
              <w:bottom w:val="nil"/>
              <w:right w:val="nil"/>
            </w:tcBorders>
            <w:noWrap/>
            <w:vAlign w:val="bottom"/>
            <w:hideMark/>
          </w:tcPr>
          <w:p w14:paraId="0E076CF1"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DEB0B61"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3C44E50" w14:textId="77777777" w:rsidTr="00331E72">
        <w:trPr>
          <w:trHeight w:val="300"/>
        </w:trPr>
        <w:tc>
          <w:tcPr>
            <w:tcW w:w="1155" w:type="pct"/>
            <w:gridSpan w:val="3"/>
            <w:tcBorders>
              <w:top w:val="nil"/>
              <w:left w:val="nil"/>
              <w:bottom w:val="nil"/>
              <w:right w:val="nil"/>
            </w:tcBorders>
            <w:vAlign w:val="bottom"/>
            <w:hideMark/>
          </w:tcPr>
          <w:p w14:paraId="6D2BD8C6"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AD35 Bains (D)</w:t>
            </w:r>
          </w:p>
        </w:tc>
        <w:tc>
          <w:tcPr>
            <w:tcW w:w="2428" w:type="pct"/>
            <w:gridSpan w:val="3"/>
            <w:tcBorders>
              <w:top w:val="nil"/>
              <w:left w:val="nil"/>
              <w:bottom w:val="nil"/>
              <w:right w:val="nil"/>
            </w:tcBorders>
            <w:vAlign w:val="bottom"/>
            <w:hideMark/>
          </w:tcPr>
          <w:p w14:paraId="4628104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$4.46</w:t>
            </w:r>
          </w:p>
        </w:tc>
        <w:tc>
          <w:tcPr>
            <w:tcW w:w="724" w:type="pct"/>
            <w:tcBorders>
              <w:top w:val="nil"/>
              <w:left w:val="nil"/>
              <w:bottom w:val="nil"/>
              <w:right w:val="nil"/>
            </w:tcBorders>
            <w:noWrap/>
            <w:vAlign w:val="bottom"/>
            <w:hideMark/>
          </w:tcPr>
          <w:p w14:paraId="0A054073"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0686284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65D4111E" w14:textId="77777777" w:rsidTr="00331E72">
        <w:trPr>
          <w:trHeight w:val="300"/>
        </w:trPr>
        <w:tc>
          <w:tcPr>
            <w:tcW w:w="1155" w:type="pct"/>
            <w:gridSpan w:val="3"/>
            <w:tcBorders>
              <w:top w:val="nil"/>
              <w:left w:val="nil"/>
              <w:bottom w:val="nil"/>
              <w:right w:val="nil"/>
            </w:tcBorders>
            <w:vAlign w:val="bottom"/>
            <w:hideMark/>
          </w:tcPr>
          <w:p w14:paraId="7CFD2C13"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AD22 Alanis (R)</w:t>
            </w:r>
          </w:p>
        </w:tc>
        <w:tc>
          <w:tcPr>
            <w:tcW w:w="2428" w:type="pct"/>
            <w:gridSpan w:val="3"/>
            <w:tcBorders>
              <w:top w:val="nil"/>
              <w:left w:val="nil"/>
              <w:bottom w:val="nil"/>
              <w:right w:val="nil"/>
            </w:tcBorders>
            <w:vAlign w:val="bottom"/>
            <w:hideMark/>
          </w:tcPr>
          <w:p w14:paraId="1790CD04"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$4.41</w:t>
            </w:r>
          </w:p>
        </w:tc>
        <w:tc>
          <w:tcPr>
            <w:tcW w:w="724" w:type="pct"/>
            <w:tcBorders>
              <w:top w:val="nil"/>
              <w:left w:val="nil"/>
              <w:bottom w:val="nil"/>
              <w:right w:val="nil"/>
            </w:tcBorders>
            <w:vAlign w:val="bottom"/>
            <w:hideMark/>
          </w:tcPr>
          <w:p w14:paraId="2915CC86"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445401C1"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3314D29" w14:textId="77777777" w:rsidTr="00331E72">
        <w:trPr>
          <w:trHeight w:val="66"/>
        </w:trPr>
        <w:tc>
          <w:tcPr>
            <w:tcW w:w="1155" w:type="pct"/>
            <w:gridSpan w:val="3"/>
            <w:tcBorders>
              <w:top w:val="nil"/>
              <w:left w:val="nil"/>
              <w:bottom w:val="nil"/>
              <w:right w:val="nil"/>
            </w:tcBorders>
            <w:vAlign w:val="bottom"/>
            <w:hideMark/>
          </w:tcPr>
          <w:p w14:paraId="13A19B1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AD13 Ransom (D)</w:t>
            </w:r>
          </w:p>
        </w:tc>
        <w:tc>
          <w:tcPr>
            <w:tcW w:w="2428" w:type="pct"/>
            <w:gridSpan w:val="3"/>
            <w:tcBorders>
              <w:top w:val="nil"/>
              <w:left w:val="nil"/>
              <w:bottom w:val="nil"/>
              <w:right w:val="nil"/>
            </w:tcBorders>
            <w:vAlign w:val="bottom"/>
            <w:hideMark/>
          </w:tcPr>
          <w:p w14:paraId="39C7B07A"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$4.40</w:t>
            </w:r>
          </w:p>
        </w:tc>
        <w:tc>
          <w:tcPr>
            <w:tcW w:w="724" w:type="pct"/>
            <w:tcBorders>
              <w:top w:val="nil"/>
              <w:left w:val="nil"/>
              <w:bottom w:val="nil"/>
              <w:right w:val="nil"/>
            </w:tcBorders>
            <w:vAlign w:val="bottom"/>
            <w:hideMark/>
          </w:tcPr>
          <w:p w14:paraId="3CC9FA1C"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vAlign w:val="bottom"/>
            <w:hideMark/>
          </w:tcPr>
          <w:p w14:paraId="2B8CCA15"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8F95D54" w14:textId="77777777" w:rsidTr="00331E72">
        <w:trPr>
          <w:trHeight w:val="66"/>
        </w:trPr>
        <w:tc>
          <w:tcPr>
            <w:tcW w:w="1155" w:type="pct"/>
            <w:gridSpan w:val="3"/>
            <w:tcBorders>
              <w:top w:val="nil"/>
              <w:left w:val="nil"/>
              <w:bottom w:val="nil"/>
              <w:right w:val="nil"/>
            </w:tcBorders>
            <w:vAlign w:val="bottom"/>
            <w:hideMark/>
          </w:tcPr>
          <w:p w14:paraId="256A0D51"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AD03 Gallagher (R)</w:t>
            </w:r>
          </w:p>
        </w:tc>
        <w:tc>
          <w:tcPr>
            <w:tcW w:w="2428" w:type="pct"/>
            <w:gridSpan w:val="3"/>
            <w:tcBorders>
              <w:top w:val="nil"/>
              <w:left w:val="nil"/>
              <w:bottom w:val="nil"/>
              <w:right w:val="nil"/>
            </w:tcBorders>
            <w:vAlign w:val="bottom"/>
            <w:hideMark/>
          </w:tcPr>
          <w:p w14:paraId="708D93B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$4.39</w:t>
            </w:r>
          </w:p>
        </w:tc>
        <w:tc>
          <w:tcPr>
            <w:tcW w:w="724" w:type="pct"/>
            <w:tcBorders>
              <w:top w:val="nil"/>
              <w:left w:val="nil"/>
              <w:bottom w:val="nil"/>
              <w:right w:val="nil"/>
            </w:tcBorders>
            <w:vAlign w:val="bottom"/>
            <w:hideMark/>
          </w:tcPr>
          <w:p w14:paraId="0268FC00" w14:textId="77777777" w:rsidR="00855036" w:rsidRPr="00855036" w:rsidRDefault="00855036" w:rsidP="00855036">
            <w:pPr>
              <w:rPr>
                <w:rFonts w:ascii="Calibri" w:eastAsia="Times New Roman" w:hAnsi="Calibri" w:cs="Calibri"/>
                <w:color w:val="000000"/>
                <w:kern w:val="0"/>
                <w14:ligatures w14:val="none"/>
              </w:rPr>
            </w:pPr>
          </w:p>
        </w:tc>
        <w:tc>
          <w:tcPr>
            <w:tcW w:w="693" w:type="pct"/>
            <w:tcBorders>
              <w:top w:val="nil"/>
              <w:left w:val="nil"/>
              <w:bottom w:val="nil"/>
              <w:right w:val="nil"/>
            </w:tcBorders>
            <w:noWrap/>
            <w:vAlign w:val="bottom"/>
            <w:hideMark/>
          </w:tcPr>
          <w:p w14:paraId="10982CBF" w14:textId="77777777" w:rsidR="00855036" w:rsidRPr="00855036" w:rsidRDefault="00855036" w:rsidP="00855036">
            <w:pPr>
              <w:rPr>
                <w:rFonts w:ascii="Times New Roman" w:eastAsia="Times New Roman" w:hAnsi="Times New Roman" w:cs="Times New Roman"/>
                <w:kern w:val="0"/>
                <w:sz w:val="20"/>
                <w:szCs w:val="20"/>
                <w14:ligatures w14:val="none"/>
              </w:rPr>
            </w:pPr>
          </w:p>
        </w:tc>
      </w:tr>
      <w:bookmarkEnd w:id="0"/>
      <w:tr w:rsidR="00855036" w:rsidRPr="00855036" w14:paraId="7144FAD3" w14:textId="77777777" w:rsidTr="00331E72">
        <w:trPr>
          <w:trHeight w:val="423"/>
        </w:trPr>
        <w:tc>
          <w:tcPr>
            <w:tcW w:w="1155" w:type="pct"/>
            <w:gridSpan w:val="3"/>
            <w:tcBorders>
              <w:top w:val="nil"/>
              <w:left w:val="nil"/>
              <w:bottom w:val="nil"/>
              <w:right w:val="nil"/>
            </w:tcBorders>
            <w:vAlign w:val="bottom"/>
            <w:hideMark/>
          </w:tcPr>
          <w:p w14:paraId="517E2400"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6F37EE9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4FC8E17C"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687F289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9EDA62F" w14:textId="77777777" w:rsidTr="00E01FE2">
        <w:trPr>
          <w:trHeight w:val="675"/>
        </w:trPr>
        <w:tc>
          <w:tcPr>
            <w:tcW w:w="5000" w:type="pct"/>
            <w:gridSpan w:val="8"/>
            <w:tcBorders>
              <w:top w:val="nil"/>
              <w:left w:val="nil"/>
              <w:bottom w:val="nil"/>
              <w:right w:val="nil"/>
            </w:tcBorders>
            <w:vAlign w:val="center"/>
            <w:hideMark/>
          </w:tcPr>
          <w:p w14:paraId="7E5765E9"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Residential Electricity Price</w:t>
            </w:r>
          </w:p>
        </w:tc>
      </w:tr>
      <w:tr w:rsidR="00855036" w:rsidRPr="00855036" w14:paraId="5453D18F" w14:textId="77777777" w:rsidTr="00331E72">
        <w:trPr>
          <w:trHeight w:val="300"/>
        </w:trPr>
        <w:tc>
          <w:tcPr>
            <w:tcW w:w="1155" w:type="pct"/>
            <w:gridSpan w:val="3"/>
            <w:tcBorders>
              <w:top w:val="nil"/>
              <w:left w:val="nil"/>
              <w:bottom w:val="nil"/>
              <w:right w:val="nil"/>
            </w:tcBorders>
            <w:vAlign w:val="bottom"/>
            <w:hideMark/>
          </w:tcPr>
          <w:p w14:paraId="2D0D53BC"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7352141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2EDA5495"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8EBACE0"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5A22D12" w14:textId="77777777" w:rsidTr="00331E72">
        <w:trPr>
          <w:trHeight w:val="675"/>
        </w:trPr>
        <w:tc>
          <w:tcPr>
            <w:tcW w:w="1155" w:type="pct"/>
            <w:gridSpan w:val="3"/>
            <w:tcBorders>
              <w:top w:val="nil"/>
              <w:left w:val="nil"/>
              <w:bottom w:val="nil"/>
              <w:right w:val="nil"/>
            </w:tcBorders>
            <w:vAlign w:val="center"/>
            <w:hideMark/>
          </w:tcPr>
          <w:p w14:paraId="2E9B4007" w14:textId="77777777" w:rsidR="00855036" w:rsidRPr="00855036" w:rsidRDefault="00855036" w:rsidP="00855036">
            <w:pPr>
              <w:jc w:val="center"/>
              <w:rPr>
                <w:rFonts w:ascii="Calibri" w:eastAsia="Times New Roman" w:hAnsi="Calibri" w:cs="Calibri"/>
                <w:b/>
                <w:bCs/>
                <w:color w:val="4C94D8" w:themeColor="text2" w:themeTint="80"/>
                <w:kern w:val="0"/>
                <w:sz w:val="63"/>
                <w:szCs w:val="63"/>
                <w14:ligatures w14:val="none"/>
              </w:rPr>
            </w:pPr>
            <w:r w:rsidRPr="00855036">
              <w:rPr>
                <w:rFonts w:ascii="Calibri" w:eastAsia="Times New Roman" w:hAnsi="Calibri" w:cs="Calibri"/>
                <w:b/>
                <w:bCs/>
                <w:color w:val="4C94D8" w:themeColor="text2" w:themeTint="80"/>
                <w:kern w:val="0"/>
                <w:sz w:val="63"/>
                <w:szCs w:val="63"/>
                <w14:ligatures w14:val="none"/>
              </w:rPr>
              <w:t>98.1%</w:t>
            </w:r>
          </w:p>
        </w:tc>
        <w:tc>
          <w:tcPr>
            <w:tcW w:w="3845" w:type="pct"/>
            <w:gridSpan w:val="5"/>
            <w:vMerge w:val="restart"/>
            <w:tcBorders>
              <w:top w:val="nil"/>
              <w:left w:val="nil"/>
              <w:bottom w:val="nil"/>
              <w:right w:val="nil"/>
            </w:tcBorders>
            <w:vAlign w:val="center"/>
            <w:hideMark/>
          </w:tcPr>
          <w:p w14:paraId="14F427A9" w14:textId="221EFA84"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California average Residential Price for the 12 months ended August 2025 was 31.94 cents/kWh, 98.1% higher than the US average of 16.12 cents/kWh for all states other than California.  California's residential prices were the highest among the contiguous states and DC.</w:t>
            </w:r>
          </w:p>
        </w:tc>
      </w:tr>
      <w:tr w:rsidR="00855036" w:rsidRPr="00855036" w14:paraId="150D1FB9" w14:textId="77777777" w:rsidTr="00331E72">
        <w:trPr>
          <w:trHeight w:val="600"/>
        </w:trPr>
        <w:tc>
          <w:tcPr>
            <w:tcW w:w="1155" w:type="pct"/>
            <w:gridSpan w:val="3"/>
            <w:tcBorders>
              <w:top w:val="nil"/>
              <w:left w:val="nil"/>
              <w:bottom w:val="nil"/>
              <w:right w:val="nil"/>
            </w:tcBorders>
            <w:vAlign w:val="bottom"/>
            <w:hideMark/>
          </w:tcPr>
          <w:p w14:paraId="69A811F5"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Above Average for Rest of US</w:t>
            </w:r>
          </w:p>
        </w:tc>
        <w:tc>
          <w:tcPr>
            <w:tcW w:w="3845" w:type="pct"/>
            <w:gridSpan w:val="5"/>
            <w:vMerge/>
            <w:tcBorders>
              <w:top w:val="nil"/>
              <w:left w:val="nil"/>
              <w:bottom w:val="nil"/>
              <w:right w:val="nil"/>
            </w:tcBorders>
            <w:vAlign w:val="center"/>
            <w:hideMark/>
          </w:tcPr>
          <w:p w14:paraId="6FC5DF1C"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06D905A9" w14:textId="77777777" w:rsidTr="00331E72">
        <w:trPr>
          <w:trHeight w:val="1200"/>
        </w:trPr>
        <w:tc>
          <w:tcPr>
            <w:tcW w:w="1155" w:type="pct"/>
            <w:gridSpan w:val="3"/>
            <w:tcBorders>
              <w:top w:val="nil"/>
              <w:left w:val="nil"/>
              <w:bottom w:val="nil"/>
              <w:right w:val="nil"/>
            </w:tcBorders>
            <w:vAlign w:val="bottom"/>
            <w:hideMark/>
          </w:tcPr>
          <w:p w14:paraId="3386BB13" w14:textId="77777777" w:rsidR="00855036" w:rsidRPr="00855036" w:rsidRDefault="00855036" w:rsidP="00117AC5">
            <w:pP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52C38A9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32A88FA8"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79C00D8"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0F577CF" w14:textId="77777777" w:rsidTr="00E01FE2">
        <w:trPr>
          <w:trHeight w:val="465"/>
        </w:trPr>
        <w:tc>
          <w:tcPr>
            <w:tcW w:w="5000" w:type="pct"/>
            <w:gridSpan w:val="8"/>
            <w:tcBorders>
              <w:top w:val="nil"/>
              <w:left w:val="nil"/>
              <w:bottom w:val="nil"/>
              <w:right w:val="nil"/>
            </w:tcBorders>
            <w:vAlign w:val="bottom"/>
            <w:hideMark/>
          </w:tcPr>
          <w:tbl>
            <w:tblPr>
              <w:tblW w:w="5000" w:type="pct"/>
              <w:tblLook w:val="04A0" w:firstRow="1" w:lastRow="0" w:firstColumn="1" w:lastColumn="0" w:noHBand="0" w:noVBand="1"/>
            </w:tblPr>
            <w:tblGrid>
              <w:gridCol w:w="1924"/>
              <w:gridCol w:w="4722"/>
              <w:gridCol w:w="2498"/>
            </w:tblGrid>
            <w:tr w:rsidR="00117AC5" w:rsidRPr="00855036" w14:paraId="0380AFD2" w14:textId="77777777" w:rsidTr="003F646C">
              <w:trPr>
                <w:trHeight w:val="645"/>
              </w:trPr>
              <w:tc>
                <w:tcPr>
                  <w:tcW w:w="5000" w:type="pct"/>
                  <w:gridSpan w:val="3"/>
                  <w:tcBorders>
                    <w:top w:val="nil"/>
                    <w:left w:val="nil"/>
                    <w:bottom w:val="nil"/>
                    <w:right w:val="nil"/>
                  </w:tcBorders>
                  <w:vAlign w:val="center"/>
                  <w:hideMark/>
                </w:tcPr>
                <w:p w14:paraId="437F3E2A" w14:textId="7D647ACE" w:rsidR="00117AC5" w:rsidRPr="00855036" w:rsidRDefault="00117AC5" w:rsidP="00117AC5">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 xml:space="preserve">Highest/Lowest </w:t>
                  </w:r>
                  <w:r>
                    <w:rPr>
                      <w:rFonts w:ascii="Georgia" w:eastAsia="Times New Roman" w:hAnsi="Georgia" w:cs="Calibri"/>
                      <w:b/>
                      <w:bCs/>
                      <w:color w:val="000000"/>
                      <w:kern w:val="0"/>
                      <w:sz w:val="36"/>
                      <w:szCs w:val="36"/>
                      <w14:ligatures w14:val="none"/>
                    </w:rPr>
                    <w:t>Electricity Rates</w:t>
                  </w:r>
                  <w:r w:rsidRPr="00855036">
                    <w:rPr>
                      <w:rFonts w:ascii="Georgia" w:eastAsia="Times New Roman" w:hAnsi="Georgia" w:cs="Calibri"/>
                      <w:b/>
                      <w:bCs/>
                      <w:color w:val="000000"/>
                      <w:kern w:val="0"/>
                      <w:sz w:val="36"/>
                      <w:szCs w:val="36"/>
                      <w14:ligatures w14:val="none"/>
                    </w:rPr>
                    <w:t xml:space="preserve"> by Legislative District: </w:t>
                  </w:r>
                </w:p>
              </w:tc>
            </w:tr>
            <w:tr w:rsidR="00117AC5" w:rsidRPr="00855036" w14:paraId="6EBED7DC" w14:textId="77777777" w:rsidTr="003F646C">
              <w:trPr>
                <w:gridAfter w:val="1"/>
                <w:wAfter w:w="1366" w:type="pct"/>
                <w:trHeight w:val="300"/>
              </w:trPr>
              <w:tc>
                <w:tcPr>
                  <w:tcW w:w="1052" w:type="pct"/>
                  <w:tcBorders>
                    <w:top w:val="nil"/>
                    <w:left w:val="nil"/>
                    <w:bottom w:val="nil"/>
                    <w:right w:val="nil"/>
                  </w:tcBorders>
                  <w:vAlign w:val="bottom"/>
                  <w:hideMark/>
                </w:tcPr>
                <w:p w14:paraId="7AE5C79A" w14:textId="77777777" w:rsidR="00117AC5" w:rsidRPr="00855036" w:rsidRDefault="00117AC5" w:rsidP="00117AC5">
                  <w:pPr>
                    <w:rPr>
                      <w:rFonts w:ascii="Georgia" w:eastAsia="Times New Roman" w:hAnsi="Georgia" w:cs="Calibri"/>
                      <w:b/>
                      <w:bCs/>
                      <w:color w:val="000000"/>
                      <w:kern w:val="0"/>
                      <w:sz w:val="36"/>
                      <w:szCs w:val="36"/>
                      <w14:ligatures w14:val="none"/>
                    </w:rPr>
                  </w:pPr>
                </w:p>
              </w:tc>
              <w:tc>
                <w:tcPr>
                  <w:tcW w:w="2582" w:type="pct"/>
                  <w:tcBorders>
                    <w:top w:val="nil"/>
                    <w:left w:val="nil"/>
                    <w:bottom w:val="nil"/>
                    <w:right w:val="nil"/>
                  </w:tcBorders>
                  <w:vAlign w:val="bottom"/>
                  <w:hideMark/>
                </w:tcPr>
                <w:p w14:paraId="5C27679D"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117AC5" w:rsidRPr="00855036" w14:paraId="0E492E68" w14:textId="77777777" w:rsidTr="003F646C">
              <w:trPr>
                <w:gridAfter w:val="1"/>
                <w:wAfter w:w="1366" w:type="pct"/>
                <w:trHeight w:val="300"/>
              </w:trPr>
              <w:tc>
                <w:tcPr>
                  <w:tcW w:w="3634" w:type="pct"/>
                  <w:gridSpan w:val="2"/>
                  <w:tcBorders>
                    <w:top w:val="nil"/>
                    <w:left w:val="nil"/>
                    <w:bottom w:val="nil"/>
                    <w:right w:val="nil"/>
                  </w:tcBorders>
                  <w:vAlign w:val="bottom"/>
                  <w:hideMark/>
                </w:tcPr>
                <w:p w14:paraId="2A6C0D5B" w14:textId="679434B8" w:rsidR="00117AC5" w:rsidRPr="00855036" w:rsidRDefault="00117AC5" w:rsidP="00117AC5">
                  <w:p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Average Residential Electricity Rate</w:t>
                  </w:r>
                  <w:r w:rsidR="004C3D33">
                    <w:rPr>
                      <w:rFonts w:ascii="Calibri" w:eastAsia="Times New Roman" w:hAnsi="Calibri" w:cs="Calibri"/>
                      <w:b/>
                      <w:bCs/>
                      <w:color w:val="000000"/>
                      <w:kern w:val="0"/>
                      <w14:ligatures w14:val="none"/>
                    </w:rPr>
                    <w:t xml:space="preserve"> (cents/kWh)</w:t>
                  </w:r>
                  <w:r>
                    <w:rPr>
                      <w:rFonts w:ascii="Calibri" w:eastAsia="Times New Roman" w:hAnsi="Calibri" w:cs="Calibri"/>
                      <w:b/>
                      <w:bCs/>
                      <w:color w:val="000000"/>
                      <w:kern w:val="0"/>
                      <w14:ligatures w14:val="none"/>
                    </w:rPr>
                    <w:t>, 2024</w:t>
                  </w:r>
                </w:p>
              </w:tc>
            </w:tr>
            <w:tr w:rsidR="00117AC5" w:rsidRPr="00855036" w14:paraId="3A79A4D1" w14:textId="77777777" w:rsidTr="003F646C">
              <w:trPr>
                <w:gridAfter w:val="1"/>
                <w:wAfter w:w="1366" w:type="pct"/>
                <w:trHeight w:val="300"/>
              </w:trPr>
              <w:tc>
                <w:tcPr>
                  <w:tcW w:w="1052" w:type="pct"/>
                  <w:tcBorders>
                    <w:top w:val="nil"/>
                    <w:left w:val="nil"/>
                    <w:bottom w:val="nil"/>
                    <w:right w:val="nil"/>
                  </w:tcBorders>
                  <w:vAlign w:val="bottom"/>
                  <w:hideMark/>
                </w:tcPr>
                <w:p w14:paraId="28861729"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vAlign w:val="bottom"/>
                  <w:hideMark/>
                </w:tcPr>
                <w:p w14:paraId="3B334F65"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117AC5" w:rsidRPr="00855036" w14:paraId="41271C43" w14:textId="77777777" w:rsidTr="003F646C">
              <w:trPr>
                <w:gridAfter w:val="1"/>
                <w:wAfter w:w="1366" w:type="pct"/>
                <w:trHeight w:val="300"/>
              </w:trPr>
              <w:tc>
                <w:tcPr>
                  <w:tcW w:w="1052" w:type="pct"/>
                  <w:tcBorders>
                    <w:top w:val="nil"/>
                    <w:left w:val="nil"/>
                    <w:bottom w:val="nil"/>
                    <w:right w:val="nil"/>
                  </w:tcBorders>
                  <w:vAlign w:val="bottom"/>
                  <w:hideMark/>
                </w:tcPr>
                <w:p w14:paraId="67B4B892"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vAlign w:val="bottom"/>
                  <w:hideMark/>
                </w:tcPr>
                <w:p w14:paraId="1B19A04B" w14:textId="77777777" w:rsidR="00117AC5" w:rsidRPr="00855036" w:rsidRDefault="00117AC5" w:rsidP="00117AC5">
                  <w:pPr>
                    <w:rPr>
                      <w:rFonts w:ascii="Calibri" w:eastAsia="Times New Roman" w:hAnsi="Calibri" w:cs="Calibri"/>
                      <w:i/>
                      <w:iCs/>
                      <w:color w:val="000000"/>
                      <w:kern w:val="0"/>
                      <w14:ligatures w14:val="none"/>
                    </w:rPr>
                  </w:pPr>
                  <w:r w:rsidRPr="00855036">
                    <w:rPr>
                      <w:rFonts w:ascii="Calibri" w:eastAsia="Times New Roman" w:hAnsi="Calibri" w:cs="Calibri"/>
                      <w:i/>
                      <w:iCs/>
                      <w:color w:val="000000"/>
                      <w:kern w:val="0"/>
                      <w14:ligatures w14:val="none"/>
                    </w:rPr>
                    <w:t>Highest</w:t>
                  </w:r>
                </w:p>
              </w:tc>
            </w:tr>
            <w:tr w:rsidR="004C3D33" w:rsidRPr="00855036" w14:paraId="11645671" w14:textId="77777777" w:rsidTr="003F646C">
              <w:trPr>
                <w:gridAfter w:val="1"/>
                <w:wAfter w:w="1366" w:type="pct"/>
                <w:trHeight w:val="465"/>
              </w:trPr>
              <w:tc>
                <w:tcPr>
                  <w:tcW w:w="1052" w:type="pct"/>
                  <w:tcBorders>
                    <w:top w:val="nil"/>
                    <w:left w:val="nil"/>
                    <w:bottom w:val="nil"/>
                    <w:right w:val="nil"/>
                  </w:tcBorders>
                  <w:vAlign w:val="bottom"/>
                  <w:hideMark/>
                </w:tcPr>
                <w:p w14:paraId="147406F7" w14:textId="5C128EEA"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CD52 Vargas (D)</w:t>
                  </w:r>
                </w:p>
              </w:tc>
              <w:tc>
                <w:tcPr>
                  <w:tcW w:w="2582" w:type="pct"/>
                  <w:tcBorders>
                    <w:top w:val="nil"/>
                    <w:left w:val="nil"/>
                    <w:bottom w:val="nil"/>
                    <w:right w:val="nil"/>
                  </w:tcBorders>
                  <w:vAlign w:val="bottom"/>
                  <w:hideMark/>
                </w:tcPr>
                <w:p w14:paraId="423BF64A" w14:textId="0C75DFEF"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6CD29219" w14:textId="77777777" w:rsidTr="003F646C">
              <w:trPr>
                <w:gridAfter w:val="1"/>
                <w:wAfter w:w="1366" w:type="pct"/>
                <w:trHeight w:val="300"/>
              </w:trPr>
              <w:tc>
                <w:tcPr>
                  <w:tcW w:w="1052" w:type="pct"/>
                  <w:tcBorders>
                    <w:top w:val="nil"/>
                    <w:left w:val="nil"/>
                    <w:bottom w:val="nil"/>
                    <w:right w:val="nil"/>
                  </w:tcBorders>
                  <w:vAlign w:val="bottom"/>
                  <w:hideMark/>
                </w:tcPr>
                <w:p w14:paraId="5154F38F" w14:textId="5C857D6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CD50 Peters (D)</w:t>
                  </w:r>
                </w:p>
              </w:tc>
              <w:tc>
                <w:tcPr>
                  <w:tcW w:w="2582" w:type="pct"/>
                  <w:tcBorders>
                    <w:top w:val="nil"/>
                    <w:left w:val="nil"/>
                    <w:bottom w:val="nil"/>
                    <w:right w:val="nil"/>
                  </w:tcBorders>
                  <w:vAlign w:val="bottom"/>
                  <w:hideMark/>
                </w:tcPr>
                <w:p w14:paraId="43108BDE" w14:textId="216FE46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361117F7" w14:textId="77777777" w:rsidTr="003F646C">
              <w:trPr>
                <w:gridAfter w:val="1"/>
                <w:wAfter w:w="1366" w:type="pct"/>
                <w:trHeight w:val="225"/>
              </w:trPr>
              <w:tc>
                <w:tcPr>
                  <w:tcW w:w="1052" w:type="pct"/>
                  <w:tcBorders>
                    <w:top w:val="nil"/>
                    <w:left w:val="nil"/>
                    <w:bottom w:val="nil"/>
                    <w:right w:val="nil"/>
                  </w:tcBorders>
                  <w:vAlign w:val="bottom"/>
                  <w:hideMark/>
                </w:tcPr>
                <w:p w14:paraId="653BA9BD" w14:textId="3529C3C2"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CD51 Jacobs (D)</w:t>
                  </w:r>
                </w:p>
              </w:tc>
              <w:tc>
                <w:tcPr>
                  <w:tcW w:w="2582" w:type="pct"/>
                  <w:tcBorders>
                    <w:top w:val="nil"/>
                    <w:left w:val="nil"/>
                    <w:bottom w:val="nil"/>
                    <w:right w:val="nil"/>
                  </w:tcBorders>
                  <w:vAlign w:val="bottom"/>
                  <w:hideMark/>
                </w:tcPr>
                <w:p w14:paraId="3CEB9DCA" w14:textId="3FC12742"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533A90B6" w14:textId="77777777" w:rsidTr="003F646C">
              <w:trPr>
                <w:gridAfter w:val="1"/>
                <w:wAfter w:w="1366" w:type="pct"/>
                <w:trHeight w:val="300"/>
              </w:trPr>
              <w:tc>
                <w:tcPr>
                  <w:tcW w:w="1052" w:type="pct"/>
                  <w:tcBorders>
                    <w:top w:val="nil"/>
                    <w:left w:val="nil"/>
                    <w:bottom w:val="nil"/>
                    <w:right w:val="nil"/>
                  </w:tcBorders>
                  <w:vAlign w:val="bottom"/>
                  <w:hideMark/>
                </w:tcPr>
                <w:p w14:paraId="48D12071" w14:textId="1154899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CD49 Levin (D)</w:t>
                  </w:r>
                </w:p>
              </w:tc>
              <w:tc>
                <w:tcPr>
                  <w:tcW w:w="2582" w:type="pct"/>
                  <w:tcBorders>
                    <w:top w:val="nil"/>
                    <w:left w:val="nil"/>
                    <w:bottom w:val="nil"/>
                    <w:right w:val="nil"/>
                  </w:tcBorders>
                  <w:vAlign w:val="bottom"/>
                  <w:hideMark/>
                </w:tcPr>
                <w:p w14:paraId="19D6745B" w14:textId="076C2063"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43.32</w:t>
                  </w:r>
                </w:p>
              </w:tc>
            </w:tr>
            <w:tr w:rsidR="004C3D33" w:rsidRPr="00855036" w14:paraId="6134644B" w14:textId="77777777" w:rsidTr="003F646C">
              <w:trPr>
                <w:gridAfter w:val="1"/>
                <w:wAfter w:w="1366" w:type="pct"/>
                <w:trHeight w:val="300"/>
              </w:trPr>
              <w:tc>
                <w:tcPr>
                  <w:tcW w:w="1052" w:type="pct"/>
                  <w:tcBorders>
                    <w:top w:val="nil"/>
                    <w:left w:val="nil"/>
                    <w:bottom w:val="nil"/>
                    <w:right w:val="nil"/>
                  </w:tcBorders>
                  <w:vAlign w:val="bottom"/>
                  <w:hideMark/>
                </w:tcPr>
                <w:p w14:paraId="08CE852A" w14:textId="105BB859"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CD48 Issa (R)</w:t>
                  </w:r>
                </w:p>
              </w:tc>
              <w:tc>
                <w:tcPr>
                  <w:tcW w:w="2582" w:type="pct"/>
                  <w:tcBorders>
                    <w:top w:val="nil"/>
                    <w:left w:val="nil"/>
                    <w:bottom w:val="nil"/>
                    <w:right w:val="nil"/>
                  </w:tcBorders>
                  <w:vAlign w:val="bottom"/>
                  <w:hideMark/>
                </w:tcPr>
                <w:p w14:paraId="75D75713" w14:textId="2A73359C"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39.66</w:t>
                  </w:r>
                </w:p>
              </w:tc>
            </w:tr>
            <w:tr w:rsidR="00117AC5" w:rsidRPr="00855036" w14:paraId="75437D57" w14:textId="77777777" w:rsidTr="003F646C">
              <w:trPr>
                <w:gridAfter w:val="1"/>
                <w:wAfter w:w="1366" w:type="pct"/>
                <w:trHeight w:val="66"/>
              </w:trPr>
              <w:tc>
                <w:tcPr>
                  <w:tcW w:w="1052" w:type="pct"/>
                  <w:tcBorders>
                    <w:top w:val="nil"/>
                    <w:left w:val="nil"/>
                    <w:bottom w:val="nil"/>
                    <w:right w:val="nil"/>
                  </w:tcBorders>
                  <w:vAlign w:val="bottom"/>
                  <w:hideMark/>
                </w:tcPr>
                <w:p w14:paraId="31F87CC5"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vAlign w:val="bottom"/>
                  <w:hideMark/>
                </w:tcPr>
                <w:p w14:paraId="24D75E25"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4C3D33" w:rsidRPr="00855036" w14:paraId="2C34EE4B" w14:textId="77777777" w:rsidTr="003F646C">
              <w:trPr>
                <w:gridAfter w:val="1"/>
                <w:wAfter w:w="1366" w:type="pct"/>
                <w:trHeight w:val="300"/>
              </w:trPr>
              <w:tc>
                <w:tcPr>
                  <w:tcW w:w="1052" w:type="pct"/>
                  <w:tcBorders>
                    <w:top w:val="nil"/>
                    <w:left w:val="nil"/>
                    <w:bottom w:val="nil"/>
                    <w:right w:val="nil"/>
                  </w:tcBorders>
                  <w:vAlign w:val="bottom"/>
                  <w:hideMark/>
                </w:tcPr>
                <w:p w14:paraId="392C72E2" w14:textId="47A4A98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SD39 Weber (D)</w:t>
                  </w:r>
                </w:p>
              </w:tc>
              <w:tc>
                <w:tcPr>
                  <w:tcW w:w="2582" w:type="pct"/>
                  <w:tcBorders>
                    <w:top w:val="nil"/>
                    <w:left w:val="nil"/>
                    <w:bottom w:val="nil"/>
                    <w:right w:val="nil"/>
                  </w:tcBorders>
                  <w:vAlign w:val="bottom"/>
                  <w:hideMark/>
                </w:tcPr>
                <w:p w14:paraId="794020BD" w14:textId="4AE77A5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2C775955" w14:textId="77777777" w:rsidTr="003F646C">
              <w:trPr>
                <w:gridAfter w:val="1"/>
                <w:wAfter w:w="1366" w:type="pct"/>
                <w:trHeight w:val="252"/>
              </w:trPr>
              <w:tc>
                <w:tcPr>
                  <w:tcW w:w="1052" w:type="pct"/>
                  <w:tcBorders>
                    <w:top w:val="nil"/>
                    <w:left w:val="nil"/>
                    <w:bottom w:val="nil"/>
                    <w:right w:val="nil"/>
                  </w:tcBorders>
                  <w:vAlign w:val="bottom"/>
                  <w:hideMark/>
                </w:tcPr>
                <w:p w14:paraId="05A68200" w14:textId="1B9CEF86"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SD40 Jones (R)</w:t>
                  </w:r>
                </w:p>
              </w:tc>
              <w:tc>
                <w:tcPr>
                  <w:tcW w:w="2582" w:type="pct"/>
                  <w:tcBorders>
                    <w:top w:val="nil"/>
                    <w:left w:val="nil"/>
                    <w:bottom w:val="nil"/>
                    <w:right w:val="nil"/>
                  </w:tcBorders>
                  <w:vAlign w:val="bottom"/>
                  <w:hideMark/>
                </w:tcPr>
                <w:p w14:paraId="5FD5E9CD" w14:textId="32587C8C"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43.52</w:t>
                  </w:r>
                </w:p>
              </w:tc>
            </w:tr>
            <w:tr w:rsidR="004C3D33" w:rsidRPr="00855036" w14:paraId="07FE0C4C" w14:textId="77777777" w:rsidTr="003F646C">
              <w:trPr>
                <w:gridAfter w:val="1"/>
                <w:wAfter w:w="1366" w:type="pct"/>
                <w:trHeight w:val="630"/>
              </w:trPr>
              <w:tc>
                <w:tcPr>
                  <w:tcW w:w="1052" w:type="pct"/>
                  <w:tcBorders>
                    <w:top w:val="nil"/>
                    <w:left w:val="nil"/>
                    <w:bottom w:val="nil"/>
                    <w:right w:val="nil"/>
                  </w:tcBorders>
                  <w:vAlign w:val="bottom"/>
                  <w:hideMark/>
                </w:tcPr>
                <w:p w14:paraId="79AACF04" w14:textId="565A3977"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SD38 Blakespear (D)</w:t>
                  </w:r>
                </w:p>
              </w:tc>
              <w:tc>
                <w:tcPr>
                  <w:tcW w:w="2582" w:type="pct"/>
                  <w:tcBorders>
                    <w:top w:val="nil"/>
                    <w:left w:val="nil"/>
                    <w:bottom w:val="nil"/>
                    <w:right w:val="nil"/>
                  </w:tcBorders>
                  <w:vAlign w:val="bottom"/>
                  <w:hideMark/>
                </w:tcPr>
                <w:p w14:paraId="28D4D50D" w14:textId="720CA45D"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41.90</w:t>
                  </w:r>
                </w:p>
              </w:tc>
            </w:tr>
            <w:tr w:rsidR="004C3D33" w:rsidRPr="00855036" w14:paraId="27118563" w14:textId="77777777" w:rsidTr="003F646C">
              <w:trPr>
                <w:gridAfter w:val="1"/>
                <w:wAfter w:w="1366" w:type="pct"/>
                <w:trHeight w:val="300"/>
              </w:trPr>
              <w:tc>
                <w:tcPr>
                  <w:tcW w:w="1052" w:type="pct"/>
                  <w:tcBorders>
                    <w:top w:val="nil"/>
                    <w:left w:val="nil"/>
                    <w:bottom w:val="nil"/>
                    <w:right w:val="nil"/>
                  </w:tcBorders>
                  <w:vAlign w:val="bottom"/>
                  <w:hideMark/>
                </w:tcPr>
                <w:p w14:paraId="382A7868" w14:textId="30F4CCF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SD17 Laird (D)</w:t>
                  </w:r>
                </w:p>
              </w:tc>
              <w:tc>
                <w:tcPr>
                  <w:tcW w:w="2582" w:type="pct"/>
                  <w:tcBorders>
                    <w:top w:val="nil"/>
                    <w:left w:val="nil"/>
                    <w:bottom w:val="nil"/>
                    <w:right w:val="nil"/>
                  </w:tcBorders>
                  <w:vAlign w:val="bottom"/>
                  <w:hideMark/>
                </w:tcPr>
                <w:p w14:paraId="5059FB7B" w14:textId="446AAA5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39.62</w:t>
                  </w:r>
                </w:p>
              </w:tc>
            </w:tr>
            <w:tr w:rsidR="004C3D33" w:rsidRPr="00855036" w14:paraId="6C7D36BA" w14:textId="77777777" w:rsidTr="003F646C">
              <w:trPr>
                <w:gridAfter w:val="1"/>
                <w:wAfter w:w="1366" w:type="pct"/>
                <w:trHeight w:val="345"/>
              </w:trPr>
              <w:tc>
                <w:tcPr>
                  <w:tcW w:w="1052" w:type="pct"/>
                  <w:tcBorders>
                    <w:top w:val="nil"/>
                    <w:left w:val="nil"/>
                    <w:bottom w:val="nil"/>
                    <w:right w:val="nil"/>
                  </w:tcBorders>
                  <w:vAlign w:val="bottom"/>
                  <w:hideMark/>
                </w:tcPr>
                <w:p w14:paraId="6636E96D" w14:textId="2D30497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SD11 Wiener (D)</w:t>
                  </w:r>
                </w:p>
              </w:tc>
              <w:tc>
                <w:tcPr>
                  <w:tcW w:w="2582" w:type="pct"/>
                  <w:tcBorders>
                    <w:top w:val="nil"/>
                    <w:left w:val="nil"/>
                    <w:bottom w:val="nil"/>
                    <w:right w:val="nil"/>
                  </w:tcBorders>
                  <w:vAlign w:val="bottom"/>
                  <w:hideMark/>
                </w:tcPr>
                <w:p w14:paraId="63A5D8DB" w14:textId="30CE8CEF"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39.62</w:t>
                  </w:r>
                </w:p>
              </w:tc>
            </w:tr>
            <w:tr w:rsidR="00117AC5" w:rsidRPr="00855036" w14:paraId="004170E9" w14:textId="77777777" w:rsidTr="003F646C">
              <w:trPr>
                <w:gridAfter w:val="1"/>
                <w:wAfter w:w="1366" w:type="pct"/>
                <w:trHeight w:val="300"/>
              </w:trPr>
              <w:tc>
                <w:tcPr>
                  <w:tcW w:w="1052" w:type="pct"/>
                  <w:tcBorders>
                    <w:top w:val="nil"/>
                    <w:left w:val="nil"/>
                    <w:bottom w:val="nil"/>
                    <w:right w:val="nil"/>
                  </w:tcBorders>
                  <w:vAlign w:val="bottom"/>
                  <w:hideMark/>
                </w:tcPr>
                <w:p w14:paraId="1AA9705D"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vAlign w:val="bottom"/>
                  <w:hideMark/>
                </w:tcPr>
                <w:p w14:paraId="71485DC0"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4C3D33" w:rsidRPr="00855036" w14:paraId="0442E73A" w14:textId="77777777" w:rsidTr="003F646C">
              <w:trPr>
                <w:gridAfter w:val="1"/>
                <w:wAfter w:w="1366" w:type="pct"/>
                <w:trHeight w:val="300"/>
              </w:trPr>
              <w:tc>
                <w:tcPr>
                  <w:tcW w:w="1052" w:type="pct"/>
                  <w:tcBorders>
                    <w:top w:val="nil"/>
                    <w:left w:val="nil"/>
                    <w:bottom w:val="nil"/>
                    <w:right w:val="nil"/>
                  </w:tcBorders>
                  <w:vAlign w:val="bottom"/>
                  <w:hideMark/>
                </w:tcPr>
                <w:p w14:paraId="69954C52" w14:textId="11AC3D06"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AD76 Patel (D)</w:t>
                  </w:r>
                </w:p>
              </w:tc>
              <w:tc>
                <w:tcPr>
                  <w:tcW w:w="2582" w:type="pct"/>
                  <w:tcBorders>
                    <w:top w:val="nil"/>
                    <w:left w:val="nil"/>
                    <w:bottom w:val="nil"/>
                    <w:right w:val="nil"/>
                  </w:tcBorders>
                  <w:vAlign w:val="bottom"/>
                  <w:hideMark/>
                </w:tcPr>
                <w:p w14:paraId="1F9DD00B" w14:textId="01170CF0"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69ABECE1" w14:textId="77777777" w:rsidTr="003F646C">
              <w:trPr>
                <w:gridAfter w:val="1"/>
                <w:wAfter w:w="1366" w:type="pct"/>
                <w:trHeight w:val="330"/>
              </w:trPr>
              <w:tc>
                <w:tcPr>
                  <w:tcW w:w="1052" w:type="pct"/>
                  <w:tcBorders>
                    <w:top w:val="nil"/>
                    <w:left w:val="nil"/>
                    <w:bottom w:val="nil"/>
                    <w:right w:val="nil"/>
                  </w:tcBorders>
                  <w:vAlign w:val="bottom"/>
                  <w:hideMark/>
                </w:tcPr>
                <w:p w14:paraId="15AD5C83" w14:textId="093DCB57"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AD77 Boerner (D)</w:t>
                  </w:r>
                </w:p>
              </w:tc>
              <w:tc>
                <w:tcPr>
                  <w:tcW w:w="2582" w:type="pct"/>
                  <w:tcBorders>
                    <w:top w:val="nil"/>
                    <w:left w:val="nil"/>
                    <w:bottom w:val="nil"/>
                    <w:right w:val="nil"/>
                  </w:tcBorders>
                  <w:vAlign w:val="bottom"/>
                  <w:hideMark/>
                </w:tcPr>
                <w:p w14:paraId="36C2C929" w14:textId="1873DEFB"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3F7CA06E" w14:textId="77777777" w:rsidTr="003F646C">
              <w:trPr>
                <w:gridAfter w:val="1"/>
                <w:wAfter w:w="1366" w:type="pct"/>
                <w:trHeight w:val="180"/>
              </w:trPr>
              <w:tc>
                <w:tcPr>
                  <w:tcW w:w="1052" w:type="pct"/>
                  <w:tcBorders>
                    <w:top w:val="nil"/>
                    <w:left w:val="nil"/>
                    <w:bottom w:val="nil"/>
                    <w:right w:val="nil"/>
                  </w:tcBorders>
                  <w:vAlign w:val="bottom"/>
                  <w:hideMark/>
                </w:tcPr>
                <w:p w14:paraId="03AB5C6B" w14:textId="540A049E"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AD80 Alvarez (D)</w:t>
                  </w:r>
                </w:p>
              </w:tc>
              <w:tc>
                <w:tcPr>
                  <w:tcW w:w="2582" w:type="pct"/>
                  <w:tcBorders>
                    <w:top w:val="nil"/>
                    <w:left w:val="nil"/>
                    <w:bottom w:val="nil"/>
                    <w:right w:val="nil"/>
                  </w:tcBorders>
                  <w:vAlign w:val="bottom"/>
                  <w:hideMark/>
                </w:tcPr>
                <w:p w14:paraId="60051ED4" w14:textId="41CE527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5D9B367E" w14:textId="77777777" w:rsidTr="003F646C">
              <w:trPr>
                <w:gridAfter w:val="1"/>
                <w:wAfter w:w="1366" w:type="pct"/>
                <w:trHeight w:val="279"/>
              </w:trPr>
              <w:tc>
                <w:tcPr>
                  <w:tcW w:w="1052" w:type="pct"/>
                  <w:tcBorders>
                    <w:top w:val="nil"/>
                    <w:left w:val="nil"/>
                    <w:bottom w:val="nil"/>
                    <w:right w:val="nil"/>
                  </w:tcBorders>
                  <w:vAlign w:val="bottom"/>
                  <w:hideMark/>
                </w:tcPr>
                <w:p w14:paraId="2B2367A4" w14:textId="32F04896"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AD78 Ward (D)</w:t>
                  </w:r>
                </w:p>
              </w:tc>
              <w:tc>
                <w:tcPr>
                  <w:tcW w:w="2582" w:type="pct"/>
                  <w:tcBorders>
                    <w:top w:val="nil"/>
                    <w:left w:val="nil"/>
                    <w:bottom w:val="nil"/>
                    <w:right w:val="nil"/>
                  </w:tcBorders>
                  <w:vAlign w:val="bottom"/>
                  <w:hideMark/>
                </w:tcPr>
                <w:p w14:paraId="084BC397" w14:textId="4EE77531"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4C3D33" w:rsidRPr="00855036" w14:paraId="02892A7A" w14:textId="77777777" w:rsidTr="003F646C">
              <w:trPr>
                <w:gridAfter w:val="1"/>
                <w:wAfter w:w="1366" w:type="pct"/>
                <w:trHeight w:val="300"/>
              </w:trPr>
              <w:tc>
                <w:tcPr>
                  <w:tcW w:w="1052" w:type="pct"/>
                  <w:tcBorders>
                    <w:top w:val="nil"/>
                    <w:left w:val="nil"/>
                    <w:bottom w:val="nil"/>
                    <w:right w:val="nil"/>
                  </w:tcBorders>
                  <w:vAlign w:val="bottom"/>
                  <w:hideMark/>
                </w:tcPr>
                <w:p w14:paraId="26867A48" w14:textId="1189877E"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AD79 Sharp-Collins (D)</w:t>
                  </w:r>
                </w:p>
              </w:tc>
              <w:tc>
                <w:tcPr>
                  <w:tcW w:w="2582" w:type="pct"/>
                  <w:tcBorders>
                    <w:top w:val="nil"/>
                    <w:left w:val="nil"/>
                    <w:bottom w:val="nil"/>
                    <w:right w:val="nil"/>
                  </w:tcBorders>
                  <w:vAlign w:val="bottom"/>
                  <w:hideMark/>
                </w:tcPr>
                <w:p w14:paraId="100DF553" w14:textId="2F72A4F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43.63</w:t>
                  </w:r>
                </w:p>
              </w:tc>
            </w:tr>
            <w:tr w:rsidR="00117AC5" w:rsidRPr="00855036" w14:paraId="456C4190" w14:textId="77777777" w:rsidTr="003F646C">
              <w:trPr>
                <w:gridAfter w:val="1"/>
                <w:wAfter w:w="1366" w:type="pct"/>
                <w:trHeight w:val="420"/>
              </w:trPr>
              <w:tc>
                <w:tcPr>
                  <w:tcW w:w="1052" w:type="pct"/>
                  <w:tcBorders>
                    <w:top w:val="nil"/>
                    <w:left w:val="nil"/>
                    <w:bottom w:val="nil"/>
                    <w:right w:val="nil"/>
                  </w:tcBorders>
                  <w:vAlign w:val="bottom"/>
                  <w:hideMark/>
                </w:tcPr>
                <w:p w14:paraId="632F3C12"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vAlign w:val="bottom"/>
                  <w:hideMark/>
                </w:tcPr>
                <w:p w14:paraId="26206FC3" w14:textId="77777777" w:rsidR="00117AC5" w:rsidRPr="00855036" w:rsidRDefault="00117AC5" w:rsidP="00117AC5">
                  <w:pPr>
                    <w:rPr>
                      <w:rFonts w:ascii="Calibri" w:eastAsia="Times New Roman" w:hAnsi="Calibri" w:cs="Calibri"/>
                      <w:i/>
                      <w:iCs/>
                      <w:color w:val="000000"/>
                      <w:kern w:val="0"/>
                      <w14:ligatures w14:val="none"/>
                    </w:rPr>
                  </w:pPr>
                  <w:r w:rsidRPr="00855036">
                    <w:rPr>
                      <w:rFonts w:ascii="Calibri" w:eastAsia="Times New Roman" w:hAnsi="Calibri" w:cs="Calibri"/>
                      <w:i/>
                      <w:iCs/>
                      <w:color w:val="000000"/>
                      <w:kern w:val="0"/>
                      <w14:ligatures w14:val="none"/>
                    </w:rPr>
                    <w:t>Lowest</w:t>
                  </w:r>
                </w:p>
              </w:tc>
            </w:tr>
            <w:tr w:rsidR="004C3D33" w:rsidRPr="00855036" w14:paraId="21762644" w14:textId="77777777" w:rsidTr="003F646C">
              <w:trPr>
                <w:gridAfter w:val="1"/>
                <w:wAfter w:w="1366" w:type="pct"/>
                <w:trHeight w:val="480"/>
              </w:trPr>
              <w:tc>
                <w:tcPr>
                  <w:tcW w:w="1052" w:type="pct"/>
                  <w:tcBorders>
                    <w:top w:val="nil"/>
                    <w:left w:val="nil"/>
                    <w:bottom w:val="nil"/>
                    <w:right w:val="nil"/>
                  </w:tcBorders>
                  <w:vAlign w:val="bottom"/>
                  <w:hideMark/>
                </w:tcPr>
                <w:p w14:paraId="651C1437" w14:textId="0E02E552"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CD32 Sherman (D)</w:t>
                  </w:r>
                </w:p>
              </w:tc>
              <w:tc>
                <w:tcPr>
                  <w:tcW w:w="2582" w:type="pct"/>
                  <w:tcBorders>
                    <w:top w:val="nil"/>
                    <w:left w:val="nil"/>
                    <w:bottom w:val="nil"/>
                    <w:right w:val="nil"/>
                  </w:tcBorders>
                  <w:vAlign w:val="bottom"/>
                  <w:hideMark/>
                </w:tcPr>
                <w:p w14:paraId="01407932" w14:textId="29EF974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23.98</w:t>
                  </w:r>
                </w:p>
              </w:tc>
            </w:tr>
            <w:tr w:rsidR="004C3D33" w:rsidRPr="00855036" w14:paraId="4613C7E7" w14:textId="77777777" w:rsidTr="003F646C">
              <w:trPr>
                <w:gridAfter w:val="1"/>
                <w:wAfter w:w="1366" w:type="pct"/>
                <w:trHeight w:val="315"/>
              </w:trPr>
              <w:tc>
                <w:tcPr>
                  <w:tcW w:w="1052" w:type="pct"/>
                  <w:tcBorders>
                    <w:top w:val="nil"/>
                    <w:left w:val="nil"/>
                    <w:bottom w:val="nil"/>
                    <w:right w:val="nil"/>
                  </w:tcBorders>
                  <w:vAlign w:val="bottom"/>
                  <w:hideMark/>
                </w:tcPr>
                <w:p w14:paraId="4CA6D3E6" w14:textId="596376D6"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CD37 Kamlager (D)</w:t>
                  </w:r>
                </w:p>
              </w:tc>
              <w:tc>
                <w:tcPr>
                  <w:tcW w:w="2582" w:type="pct"/>
                  <w:tcBorders>
                    <w:top w:val="nil"/>
                    <w:left w:val="nil"/>
                    <w:bottom w:val="nil"/>
                    <w:right w:val="nil"/>
                  </w:tcBorders>
                  <w:vAlign w:val="bottom"/>
                  <w:hideMark/>
                </w:tcPr>
                <w:p w14:paraId="371BF1B0" w14:textId="4D4FA202"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23.77</w:t>
                  </w:r>
                </w:p>
              </w:tc>
            </w:tr>
            <w:tr w:rsidR="004C3D33" w:rsidRPr="00855036" w14:paraId="03594888" w14:textId="77777777" w:rsidTr="003F646C">
              <w:trPr>
                <w:gridAfter w:val="1"/>
                <w:wAfter w:w="1366" w:type="pct"/>
                <w:trHeight w:val="369"/>
              </w:trPr>
              <w:tc>
                <w:tcPr>
                  <w:tcW w:w="1052" w:type="pct"/>
                  <w:tcBorders>
                    <w:top w:val="nil"/>
                    <w:left w:val="nil"/>
                    <w:bottom w:val="nil"/>
                    <w:right w:val="nil"/>
                  </w:tcBorders>
                  <w:vAlign w:val="bottom"/>
                  <w:hideMark/>
                </w:tcPr>
                <w:p w14:paraId="7FE8B005" w14:textId="3CDBE14D"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CD29 Rivas (D)</w:t>
                  </w:r>
                </w:p>
              </w:tc>
              <w:tc>
                <w:tcPr>
                  <w:tcW w:w="2582" w:type="pct"/>
                  <w:tcBorders>
                    <w:top w:val="nil"/>
                    <w:left w:val="nil"/>
                    <w:bottom w:val="nil"/>
                    <w:right w:val="nil"/>
                  </w:tcBorders>
                  <w:vAlign w:val="bottom"/>
                  <w:hideMark/>
                </w:tcPr>
                <w:p w14:paraId="1CB5BE7B" w14:textId="0AF9DC97"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23.63</w:t>
                  </w:r>
                </w:p>
              </w:tc>
            </w:tr>
            <w:tr w:rsidR="004C3D33" w:rsidRPr="00855036" w14:paraId="24DD63FF" w14:textId="77777777" w:rsidTr="003F646C">
              <w:trPr>
                <w:gridAfter w:val="1"/>
                <w:wAfter w:w="1366" w:type="pct"/>
                <w:trHeight w:val="345"/>
              </w:trPr>
              <w:tc>
                <w:tcPr>
                  <w:tcW w:w="1052" w:type="pct"/>
                  <w:tcBorders>
                    <w:top w:val="nil"/>
                    <w:left w:val="nil"/>
                    <w:bottom w:val="nil"/>
                    <w:right w:val="nil"/>
                  </w:tcBorders>
                  <w:vAlign w:val="bottom"/>
                  <w:hideMark/>
                </w:tcPr>
                <w:p w14:paraId="134046B3" w14:textId="708A9CD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CD07 Matsui (D)</w:t>
                  </w:r>
                </w:p>
              </w:tc>
              <w:tc>
                <w:tcPr>
                  <w:tcW w:w="2582" w:type="pct"/>
                  <w:tcBorders>
                    <w:top w:val="nil"/>
                    <w:left w:val="nil"/>
                    <w:bottom w:val="nil"/>
                    <w:right w:val="nil"/>
                  </w:tcBorders>
                  <w:vAlign w:val="bottom"/>
                  <w:hideMark/>
                </w:tcPr>
                <w:p w14:paraId="23E50AD5" w14:textId="3726D131"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22.32</w:t>
                  </w:r>
                </w:p>
              </w:tc>
            </w:tr>
            <w:tr w:rsidR="004C3D33" w:rsidRPr="00855036" w14:paraId="2C7A86FA" w14:textId="77777777" w:rsidTr="003F646C">
              <w:trPr>
                <w:gridAfter w:val="1"/>
                <w:wAfter w:w="1366" w:type="pct"/>
                <w:trHeight w:val="288"/>
              </w:trPr>
              <w:tc>
                <w:tcPr>
                  <w:tcW w:w="1052" w:type="pct"/>
                  <w:tcBorders>
                    <w:top w:val="nil"/>
                    <w:left w:val="nil"/>
                    <w:bottom w:val="nil"/>
                    <w:right w:val="nil"/>
                  </w:tcBorders>
                  <w:vAlign w:val="bottom"/>
                  <w:hideMark/>
                </w:tcPr>
                <w:p w14:paraId="5C520693" w14:textId="523291A9"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CD06 Bera (D)</w:t>
                  </w:r>
                </w:p>
              </w:tc>
              <w:tc>
                <w:tcPr>
                  <w:tcW w:w="2582" w:type="pct"/>
                  <w:tcBorders>
                    <w:top w:val="nil"/>
                    <w:left w:val="nil"/>
                    <w:bottom w:val="nil"/>
                    <w:right w:val="nil"/>
                  </w:tcBorders>
                  <w:vAlign w:val="bottom"/>
                  <w:hideMark/>
                </w:tcPr>
                <w:p w14:paraId="51D3268B" w14:textId="2FC4E89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21.40</w:t>
                  </w:r>
                </w:p>
              </w:tc>
            </w:tr>
            <w:tr w:rsidR="00117AC5" w:rsidRPr="00855036" w14:paraId="3CEB5626" w14:textId="77777777" w:rsidTr="003F646C">
              <w:trPr>
                <w:gridAfter w:val="1"/>
                <w:wAfter w:w="1366" w:type="pct"/>
                <w:trHeight w:val="270"/>
              </w:trPr>
              <w:tc>
                <w:tcPr>
                  <w:tcW w:w="1052" w:type="pct"/>
                  <w:tcBorders>
                    <w:top w:val="nil"/>
                    <w:left w:val="nil"/>
                    <w:bottom w:val="nil"/>
                    <w:right w:val="nil"/>
                  </w:tcBorders>
                  <w:vAlign w:val="bottom"/>
                  <w:hideMark/>
                </w:tcPr>
                <w:p w14:paraId="7398EE8C"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noWrap/>
                  <w:vAlign w:val="bottom"/>
                  <w:hideMark/>
                </w:tcPr>
                <w:p w14:paraId="4D0466DF"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4C3D33" w:rsidRPr="00855036" w14:paraId="724BF2C7" w14:textId="77777777" w:rsidTr="003F646C">
              <w:trPr>
                <w:gridAfter w:val="1"/>
                <w:wAfter w:w="1366" w:type="pct"/>
                <w:trHeight w:val="66"/>
              </w:trPr>
              <w:tc>
                <w:tcPr>
                  <w:tcW w:w="1052" w:type="pct"/>
                  <w:tcBorders>
                    <w:top w:val="nil"/>
                    <w:left w:val="nil"/>
                    <w:bottom w:val="nil"/>
                    <w:right w:val="nil"/>
                  </w:tcBorders>
                  <w:vAlign w:val="bottom"/>
                  <w:hideMark/>
                </w:tcPr>
                <w:p w14:paraId="2B54C12E" w14:textId="41FED96D"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SD26 Durazo (D)</w:t>
                  </w:r>
                </w:p>
              </w:tc>
              <w:tc>
                <w:tcPr>
                  <w:tcW w:w="2582" w:type="pct"/>
                  <w:tcBorders>
                    <w:top w:val="nil"/>
                    <w:left w:val="nil"/>
                    <w:bottom w:val="nil"/>
                    <w:right w:val="nil"/>
                  </w:tcBorders>
                  <w:vAlign w:val="bottom"/>
                  <w:hideMark/>
                </w:tcPr>
                <w:p w14:paraId="6D83BF3A" w14:textId="2621E3D4"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24.97</w:t>
                  </w:r>
                </w:p>
              </w:tc>
            </w:tr>
            <w:tr w:rsidR="004C3D33" w:rsidRPr="00855036" w14:paraId="3CF52634" w14:textId="77777777" w:rsidTr="003F646C">
              <w:trPr>
                <w:gridAfter w:val="1"/>
                <w:wAfter w:w="1366" w:type="pct"/>
                <w:trHeight w:val="99"/>
              </w:trPr>
              <w:tc>
                <w:tcPr>
                  <w:tcW w:w="1052" w:type="pct"/>
                  <w:tcBorders>
                    <w:top w:val="nil"/>
                    <w:left w:val="nil"/>
                    <w:bottom w:val="nil"/>
                    <w:right w:val="nil"/>
                  </w:tcBorders>
                  <w:vAlign w:val="bottom"/>
                  <w:hideMark/>
                </w:tcPr>
                <w:p w14:paraId="66ADACE8" w14:textId="6B00D020"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SD28 Smallwood-Cuevas (D)</w:t>
                  </w:r>
                </w:p>
              </w:tc>
              <w:tc>
                <w:tcPr>
                  <w:tcW w:w="2582" w:type="pct"/>
                  <w:tcBorders>
                    <w:top w:val="nil"/>
                    <w:left w:val="nil"/>
                    <w:bottom w:val="nil"/>
                    <w:right w:val="nil"/>
                  </w:tcBorders>
                  <w:vAlign w:val="bottom"/>
                  <w:hideMark/>
                </w:tcPr>
                <w:p w14:paraId="2FCF40C9" w14:textId="6140AE0A"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23.94</w:t>
                  </w:r>
                </w:p>
              </w:tc>
            </w:tr>
            <w:tr w:rsidR="004C3D33" w:rsidRPr="00855036" w14:paraId="137D3569" w14:textId="77777777" w:rsidTr="003F646C">
              <w:trPr>
                <w:gridAfter w:val="1"/>
                <w:wAfter w:w="1366" w:type="pct"/>
                <w:trHeight w:val="465"/>
              </w:trPr>
              <w:tc>
                <w:tcPr>
                  <w:tcW w:w="1052" w:type="pct"/>
                  <w:tcBorders>
                    <w:top w:val="nil"/>
                    <w:left w:val="nil"/>
                    <w:bottom w:val="nil"/>
                    <w:right w:val="nil"/>
                  </w:tcBorders>
                  <w:vAlign w:val="bottom"/>
                  <w:hideMark/>
                </w:tcPr>
                <w:p w14:paraId="23C761CC" w14:textId="7F0C03A7"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SD06 Niello (R)</w:t>
                  </w:r>
                </w:p>
              </w:tc>
              <w:tc>
                <w:tcPr>
                  <w:tcW w:w="2582" w:type="pct"/>
                  <w:tcBorders>
                    <w:top w:val="nil"/>
                    <w:left w:val="nil"/>
                    <w:bottom w:val="nil"/>
                    <w:right w:val="nil"/>
                  </w:tcBorders>
                  <w:vAlign w:val="bottom"/>
                  <w:hideMark/>
                </w:tcPr>
                <w:p w14:paraId="32FF9ED6" w14:textId="75C1C5A0"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23.71</w:t>
                  </w:r>
                </w:p>
              </w:tc>
            </w:tr>
            <w:tr w:rsidR="004C3D33" w:rsidRPr="00855036" w14:paraId="01156F46" w14:textId="77777777" w:rsidTr="003F646C">
              <w:trPr>
                <w:gridAfter w:val="1"/>
                <w:wAfter w:w="1366" w:type="pct"/>
                <w:trHeight w:val="288"/>
              </w:trPr>
              <w:tc>
                <w:tcPr>
                  <w:tcW w:w="1052" w:type="pct"/>
                  <w:tcBorders>
                    <w:top w:val="nil"/>
                    <w:left w:val="nil"/>
                    <w:bottom w:val="nil"/>
                    <w:right w:val="nil"/>
                  </w:tcBorders>
                  <w:vAlign w:val="bottom"/>
                  <w:hideMark/>
                </w:tcPr>
                <w:p w14:paraId="4576C36D" w14:textId="7078A70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SD20 Menjivar (D)</w:t>
                  </w:r>
                </w:p>
              </w:tc>
              <w:tc>
                <w:tcPr>
                  <w:tcW w:w="2582" w:type="pct"/>
                  <w:tcBorders>
                    <w:top w:val="nil"/>
                    <w:left w:val="nil"/>
                    <w:bottom w:val="nil"/>
                    <w:right w:val="nil"/>
                  </w:tcBorders>
                  <w:vAlign w:val="bottom"/>
                  <w:hideMark/>
                </w:tcPr>
                <w:p w14:paraId="783414F8" w14:textId="72ACA67E"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23.24</w:t>
                  </w:r>
                </w:p>
              </w:tc>
            </w:tr>
            <w:tr w:rsidR="004C3D33" w:rsidRPr="00855036" w14:paraId="3D47E139" w14:textId="77777777" w:rsidTr="003F646C">
              <w:trPr>
                <w:gridAfter w:val="1"/>
                <w:wAfter w:w="1366" w:type="pct"/>
                <w:trHeight w:val="90"/>
              </w:trPr>
              <w:tc>
                <w:tcPr>
                  <w:tcW w:w="1052" w:type="pct"/>
                  <w:tcBorders>
                    <w:top w:val="nil"/>
                    <w:left w:val="nil"/>
                    <w:bottom w:val="nil"/>
                    <w:right w:val="nil"/>
                  </w:tcBorders>
                  <w:vAlign w:val="bottom"/>
                  <w:hideMark/>
                </w:tcPr>
                <w:p w14:paraId="2E5A899A" w14:textId="08721C5D"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SD08 Ashby (D)</w:t>
                  </w:r>
                </w:p>
              </w:tc>
              <w:tc>
                <w:tcPr>
                  <w:tcW w:w="2582" w:type="pct"/>
                  <w:tcBorders>
                    <w:top w:val="nil"/>
                    <w:left w:val="nil"/>
                    <w:bottom w:val="nil"/>
                    <w:right w:val="nil"/>
                  </w:tcBorders>
                  <w:vAlign w:val="bottom"/>
                  <w:hideMark/>
                </w:tcPr>
                <w:p w14:paraId="625DA320" w14:textId="2F450BF7"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21.17</w:t>
                  </w:r>
                </w:p>
              </w:tc>
            </w:tr>
            <w:tr w:rsidR="00117AC5" w:rsidRPr="00855036" w14:paraId="3F779BBF" w14:textId="77777777" w:rsidTr="003F646C">
              <w:trPr>
                <w:gridAfter w:val="1"/>
                <w:wAfter w:w="1366" w:type="pct"/>
                <w:trHeight w:val="180"/>
              </w:trPr>
              <w:tc>
                <w:tcPr>
                  <w:tcW w:w="1052" w:type="pct"/>
                  <w:tcBorders>
                    <w:top w:val="nil"/>
                    <w:left w:val="nil"/>
                    <w:bottom w:val="nil"/>
                    <w:right w:val="nil"/>
                  </w:tcBorders>
                  <w:vAlign w:val="bottom"/>
                  <w:hideMark/>
                </w:tcPr>
                <w:p w14:paraId="09981ABB" w14:textId="77777777" w:rsidR="00117AC5" w:rsidRPr="00855036" w:rsidRDefault="00117AC5" w:rsidP="00117AC5">
                  <w:pPr>
                    <w:rPr>
                      <w:rFonts w:ascii="Times New Roman" w:eastAsia="Times New Roman" w:hAnsi="Times New Roman" w:cs="Times New Roman"/>
                      <w:kern w:val="0"/>
                      <w:sz w:val="20"/>
                      <w:szCs w:val="20"/>
                      <w14:ligatures w14:val="none"/>
                    </w:rPr>
                  </w:pPr>
                </w:p>
              </w:tc>
              <w:tc>
                <w:tcPr>
                  <w:tcW w:w="2582" w:type="pct"/>
                  <w:tcBorders>
                    <w:top w:val="nil"/>
                    <w:left w:val="nil"/>
                    <w:bottom w:val="nil"/>
                    <w:right w:val="nil"/>
                  </w:tcBorders>
                  <w:noWrap/>
                  <w:vAlign w:val="bottom"/>
                  <w:hideMark/>
                </w:tcPr>
                <w:p w14:paraId="2B46354D" w14:textId="77777777" w:rsidR="00117AC5" w:rsidRPr="00855036" w:rsidRDefault="00117AC5" w:rsidP="00117AC5">
                  <w:pPr>
                    <w:rPr>
                      <w:rFonts w:ascii="Times New Roman" w:eastAsia="Times New Roman" w:hAnsi="Times New Roman" w:cs="Times New Roman"/>
                      <w:kern w:val="0"/>
                      <w:sz w:val="20"/>
                      <w:szCs w:val="20"/>
                      <w14:ligatures w14:val="none"/>
                    </w:rPr>
                  </w:pPr>
                </w:p>
              </w:tc>
            </w:tr>
            <w:tr w:rsidR="004C3D33" w:rsidRPr="00855036" w14:paraId="14A40B22" w14:textId="77777777" w:rsidTr="003F646C">
              <w:trPr>
                <w:gridAfter w:val="1"/>
                <w:wAfter w:w="1366" w:type="pct"/>
                <w:trHeight w:val="66"/>
              </w:trPr>
              <w:tc>
                <w:tcPr>
                  <w:tcW w:w="1052" w:type="pct"/>
                  <w:tcBorders>
                    <w:top w:val="nil"/>
                    <w:left w:val="nil"/>
                    <w:bottom w:val="nil"/>
                    <w:right w:val="nil"/>
                  </w:tcBorders>
                  <w:vAlign w:val="bottom"/>
                  <w:hideMark/>
                </w:tcPr>
                <w:p w14:paraId="6A9EC0E1" w14:textId="3DC1E6DE"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AD43 Rodriguez (D)</w:t>
                  </w:r>
                </w:p>
              </w:tc>
              <w:tc>
                <w:tcPr>
                  <w:tcW w:w="2582" w:type="pct"/>
                  <w:tcBorders>
                    <w:top w:val="nil"/>
                    <w:left w:val="nil"/>
                    <w:bottom w:val="nil"/>
                    <w:right w:val="nil"/>
                  </w:tcBorders>
                  <w:vAlign w:val="bottom"/>
                  <w:hideMark/>
                </w:tcPr>
                <w:p w14:paraId="675A776A" w14:textId="0F3DE1A8"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23.72</w:t>
                  </w:r>
                </w:p>
              </w:tc>
            </w:tr>
            <w:tr w:rsidR="004C3D33" w:rsidRPr="00855036" w14:paraId="47AC4DF2" w14:textId="77777777" w:rsidTr="003F646C">
              <w:trPr>
                <w:gridAfter w:val="1"/>
                <w:wAfter w:w="1366" w:type="pct"/>
                <w:trHeight w:val="300"/>
              </w:trPr>
              <w:tc>
                <w:tcPr>
                  <w:tcW w:w="1052" w:type="pct"/>
                  <w:tcBorders>
                    <w:top w:val="nil"/>
                    <w:left w:val="nil"/>
                    <w:bottom w:val="nil"/>
                    <w:right w:val="nil"/>
                  </w:tcBorders>
                  <w:vAlign w:val="bottom"/>
                  <w:hideMark/>
                </w:tcPr>
                <w:p w14:paraId="744BC0DC" w14:textId="1F1FBB8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AD22 Alanis (R)</w:t>
                  </w:r>
                </w:p>
              </w:tc>
              <w:tc>
                <w:tcPr>
                  <w:tcW w:w="2582" w:type="pct"/>
                  <w:tcBorders>
                    <w:top w:val="nil"/>
                    <w:left w:val="nil"/>
                    <w:bottom w:val="nil"/>
                    <w:right w:val="nil"/>
                  </w:tcBorders>
                  <w:vAlign w:val="bottom"/>
                  <w:hideMark/>
                </w:tcPr>
                <w:p w14:paraId="1932A9E4" w14:textId="3051C881"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22.08</w:t>
                  </w:r>
                </w:p>
              </w:tc>
            </w:tr>
            <w:tr w:rsidR="004C3D33" w:rsidRPr="00855036" w14:paraId="46BDF8EB" w14:textId="77777777" w:rsidTr="003F646C">
              <w:trPr>
                <w:gridAfter w:val="1"/>
                <w:wAfter w:w="1366" w:type="pct"/>
                <w:trHeight w:val="300"/>
              </w:trPr>
              <w:tc>
                <w:tcPr>
                  <w:tcW w:w="1052" w:type="pct"/>
                  <w:tcBorders>
                    <w:top w:val="nil"/>
                    <w:left w:val="nil"/>
                    <w:bottom w:val="nil"/>
                    <w:right w:val="nil"/>
                  </w:tcBorders>
                  <w:vAlign w:val="bottom"/>
                  <w:hideMark/>
                </w:tcPr>
                <w:p w14:paraId="383706A5" w14:textId="45008F45"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AD36 Gonzalez (R)</w:t>
                  </w:r>
                </w:p>
              </w:tc>
              <w:tc>
                <w:tcPr>
                  <w:tcW w:w="2582" w:type="pct"/>
                  <w:tcBorders>
                    <w:top w:val="nil"/>
                    <w:left w:val="nil"/>
                    <w:bottom w:val="nil"/>
                    <w:right w:val="nil"/>
                  </w:tcBorders>
                  <w:vAlign w:val="bottom"/>
                  <w:hideMark/>
                </w:tcPr>
                <w:p w14:paraId="3206B797" w14:textId="2C940362"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21.70</w:t>
                  </w:r>
                </w:p>
              </w:tc>
            </w:tr>
            <w:tr w:rsidR="004C3D33" w:rsidRPr="00855036" w14:paraId="075D90CD" w14:textId="77777777" w:rsidTr="003F646C">
              <w:trPr>
                <w:gridAfter w:val="1"/>
                <w:wAfter w:w="1366" w:type="pct"/>
                <w:trHeight w:val="66"/>
              </w:trPr>
              <w:tc>
                <w:tcPr>
                  <w:tcW w:w="1052" w:type="pct"/>
                  <w:tcBorders>
                    <w:top w:val="nil"/>
                    <w:left w:val="nil"/>
                    <w:bottom w:val="nil"/>
                    <w:right w:val="nil"/>
                  </w:tcBorders>
                  <w:vAlign w:val="bottom"/>
                  <w:hideMark/>
                </w:tcPr>
                <w:p w14:paraId="010319C7" w14:textId="0E1B5E24"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AD10 Nguyen (D)</w:t>
                  </w:r>
                </w:p>
              </w:tc>
              <w:tc>
                <w:tcPr>
                  <w:tcW w:w="2582" w:type="pct"/>
                  <w:tcBorders>
                    <w:top w:val="nil"/>
                    <w:left w:val="nil"/>
                    <w:bottom w:val="nil"/>
                    <w:right w:val="nil"/>
                  </w:tcBorders>
                  <w:vAlign w:val="bottom"/>
                  <w:hideMark/>
                </w:tcPr>
                <w:p w14:paraId="6F00A8ED" w14:textId="093BE9DE"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19.60</w:t>
                  </w:r>
                </w:p>
              </w:tc>
            </w:tr>
            <w:tr w:rsidR="004C3D33" w:rsidRPr="00855036" w14:paraId="5A990A52" w14:textId="77777777" w:rsidTr="003F646C">
              <w:trPr>
                <w:gridAfter w:val="1"/>
                <w:wAfter w:w="1366" w:type="pct"/>
                <w:trHeight w:val="66"/>
              </w:trPr>
              <w:tc>
                <w:tcPr>
                  <w:tcW w:w="1052" w:type="pct"/>
                  <w:tcBorders>
                    <w:top w:val="nil"/>
                    <w:left w:val="nil"/>
                    <w:bottom w:val="nil"/>
                    <w:right w:val="nil"/>
                  </w:tcBorders>
                  <w:vAlign w:val="bottom"/>
                  <w:hideMark/>
                </w:tcPr>
                <w:p w14:paraId="2B88BB80" w14:textId="1E78B3C0"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AD07 Hoover (R)</w:t>
                  </w:r>
                </w:p>
              </w:tc>
              <w:tc>
                <w:tcPr>
                  <w:tcW w:w="2582" w:type="pct"/>
                  <w:tcBorders>
                    <w:top w:val="nil"/>
                    <w:left w:val="nil"/>
                    <w:bottom w:val="nil"/>
                    <w:right w:val="nil"/>
                  </w:tcBorders>
                  <w:vAlign w:val="bottom"/>
                  <w:hideMark/>
                </w:tcPr>
                <w:p w14:paraId="378DEBBA" w14:textId="37F3B823" w:rsidR="004C3D33" w:rsidRPr="00855036" w:rsidRDefault="004C3D33" w:rsidP="004C3D33">
                  <w:pPr>
                    <w:rPr>
                      <w:rFonts w:ascii="Calibri" w:eastAsia="Times New Roman" w:hAnsi="Calibri" w:cs="Calibri"/>
                      <w:color w:val="000000"/>
                      <w:kern w:val="0"/>
                      <w14:ligatures w14:val="none"/>
                    </w:rPr>
                  </w:pPr>
                  <w:r>
                    <w:rPr>
                      <w:rFonts w:ascii="Calibri" w:hAnsi="Calibri" w:cs="Calibri"/>
                      <w:color w:val="000000"/>
                    </w:rPr>
                    <w:t>19.12</w:t>
                  </w:r>
                </w:p>
              </w:tc>
            </w:tr>
          </w:tbl>
          <w:p w14:paraId="11516B53" w14:textId="77777777" w:rsidR="00117AC5" w:rsidRDefault="00117AC5" w:rsidP="00855036">
            <w:pPr>
              <w:rPr>
                <w:rFonts w:ascii="Georgia" w:eastAsia="Times New Roman" w:hAnsi="Georgia" w:cs="Calibri"/>
                <w:b/>
                <w:bCs/>
                <w:color w:val="000000"/>
                <w:kern w:val="0"/>
                <w:sz w:val="36"/>
                <w:szCs w:val="36"/>
                <w14:ligatures w14:val="none"/>
              </w:rPr>
            </w:pPr>
          </w:p>
          <w:p w14:paraId="4EBAD7CB" w14:textId="7A9DC311"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Residential Electric Bill</w:t>
            </w:r>
          </w:p>
        </w:tc>
      </w:tr>
      <w:tr w:rsidR="00855036" w:rsidRPr="00855036" w14:paraId="0B3D8CDF" w14:textId="77777777" w:rsidTr="00331E72">
        <w:trPr>
          <w:trHeight w:val="300"/>
        </w:trPr>
        <w:tc>
          <w:tcPr>
            <w:tcW w:w="1155" w:type="pct"/>
            <w:gridSpan w:val="3"/>
            <w:tcBorders>
              <w:top w:val="nil"/>
              <w:left w:val="nil"/>
              <w:bottom w:val="nil"/>
              <w:right w:val="nil"/>
            </w:tcBorders>
            <w:vAlign w:val="bottom"/>
            <w:hideMark/>
          </w:tcPr>
          <w:p w14:paraId="14024413"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35FA5AC1"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60786D6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7094F8D"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07F5816" w14:textId="77777777" w:rsidTr="00331E72">
        <w:trPr>
          <w:trHeight w:val="1500"/>
        </w:trPr>
        <w:tc>
          <w:tcPr>
            <w:tcW w:w="1155" w:type="pct"/>
            <w:gridSpan w:val="3"/>
            <w:tcBorders>
              <w:top w:val="nil"/>
              <w:left w:val="nil"/>
              <w:bottom w:val="nil"/>
              <w:right w:val="nil"/>
            </w:tcBorders>
            <w:noWrap/>
            <w:vAlign w:val="center"/>
            <w:hideMark/>
          </w:tcPr>
          <w:p w14:paraId="535206C6" w14:textId="77777777" w:rsidR="00855036" w:rsidRPr="00855036" w:rsidRDefault="00855036" w:rsidP="00855036">
            <w:pPr>
              <w:jc w:val="center"/>
              <w:rPr>
                <w:rFonts w:ascii="Arial" w:eastAsia="Times New Roman" w:hAnsi="Arial" w:cs="Arial"/>
                <w:b/>
                <w:bCs/>
                <w:kern w:val="0"/>
                <w:sz w:val="63"/>
                <w:szCs w:val="63"/>
                <w14:ligatures w14:val="none"/>
              </w:rPr>
            </w:pPr>
            <w:r w:rsidRPr="00855036">
              <w:rPr>
                <w:rFonts w:ascii="Arial" w:eastAsia="Times New Roman" w:hAnsi="Arial" w:cs="Arial"/>
                <w:b/>
                <w:bCs/>
                <w:color w:val="4C94D8" w:themeColor="text2" w:themeTint="80"/>
                <w:kern w:val="0"/>
                <w:sz w:val="63"/>
                <w:szCs w:val="63"/>
                <w14:ligatures w14:val="none"/>
              </w:rPr>
              <w:t>14th</w:t>
            </w:r>
          </w:p>
        </w:tc>
        <w:tc>
          <w:tcPr>
            <w:tcW w:w="3845" w:type="pct"/>
            <w:gridSpan w:val="5"/>
            <w:vMerge w:val="restart"/>
            <w:tcBorders>
              <w:top w:val="nil"/>
              <w:left w:val="nil"/>
              <w:bottom w:val="nil"/>
              <w:right w:val="nil"/>
            </w:tcBorders>
            <w:vAlign w:val="center"/>
            <w:hideMark/>
          </w:tcPr>
          <w:p w14:paraId="0CDAC9E0" w14:textId="197D6BED"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For the 12 months ended August 2025, the average annual Residential electricity bill in California was $1</w:t>
            </w:r>
            <w:r>
              <w:rPr>
                <w:rFonts w:ascii="Calibri" w:eastAsia="Times New Roman" w:hAnsi="Calibri" w:cs="Calibri"/>
                <w:color w:val="000000"/>
                <w:kern w:val="0"/>
                <w14:ligatures w14:val="none"/>
              </w:rPr>
              <w:t>,</w:t>
            </w:r>
            <w:r w:rsidRPr="00855036">
              <w:rPr>
                <w:rFonts w:ascii="Calibri" w:eastAsia="Times New Roman" w:hAnsi="Calibri" w:cs="Calibri"/>
                <w:color w:val="000000"/>
                <w:kern w:val="0"/>
                <w14:ligatures w14:val="none"/>
              </w:rPr>
              <w:t>881, or 89.2% higher ($887) than the comparable bill in 2010 (the year the AB 32 implementation began with the Early Action items).  In this same period, the average US (less CA) electricity bill for all the other states grew only 30.0% ($409).</w:t>
            </w:r>
            <w:r w:rsidRPr="00855036">
              <w:rPr>
                <w:rFonts w:ascii="Calibri" w:eastAsia="Times New Roman" w:hAnsi="Calibri" w:cs="Calibri"/>
                <w:color w:val="000000"/>
                <w:kern w:val="0"/>
                <w14:ligatures w14:val="none"/>
              </w:rPr>
              <w:br/>
            </w:r>
            <w:r w:rsidRPr="00855036">
              <w:rPr>
                <w:rFonts w:ascii="Calibri" w:eastAsia="Times New Roman" w:hAnsi="Calibri" w:cs="Calibri"/>
                <w:color w:val="000000"/>
                <w:kern w:val="0"/>
                <w14:ligatures w14:val="none"/>
              </w:rPr>
              <w:br/>
              <w:t>In 2010, California had the 9th lowest residential electricity bill among the contiguous states and DC.  In the latest data, it had the 14th highest.</w:t>
            </w:r>
          </w:p>
        </w:tc>
      </w:tr>
      <w:tr w:rsidR="00855036" w:rsidRPr="00855036" w14:paraId="13AD8376" w14:textId="77777777" w:rsidTr="00331E72">
        <w:trPr>
          <w:trHeight w:val="300"/>
        </w:trPr>
        <w:tc>
          <w:tcPr>
            <w:tcW w:w="1155" w:type="pct"/>
            <w:gridSpan w:val="3"/>
            <w:tcBorders>
              <w:top w:val="nil"/>
              <w:left w:val="nil"/>
              <w:bottom w:val="nil"/>
              <w:right w:val="nil"/>
            </w:tcBorders>
            <w:vAlign w:val="bottom"/>
            <w:hideMark/>
          </w:tcPr>
          <w:p w14:paraId="7063294B"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Ranked by Cost</w:t>
            </w:r>
          </w:p>
        </w:tc>
        <w:tc>
          <w:tcPr>
            <w:tcW w:w="3845" w:type="pct"/>
            <w:gridSpan w:val="5"/>
            <w:vMerge/>
            <w:tcBorders>
              <w:top w:val="nil"/>
              <w:left w:val="nil"/>
              <w:bottom w:val="nil"/>
              <w:right w:val="nil"/>
            </w:tcBorders>
            <w:vAlign w:val="center"/>
            <w:hideMark/>
          </w:tcPr>
          <w:p w14:paraId="27341244"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57374C16" w14:textId="77777777" w:rsidTr="00331E72">
        <w:trPr>
          <w:trHeight w:val="300"/>
        </w:trPr>
        <w:tc>
          <w:tcPr>
            <w:tcW w:w="1155" w:type="pct"/>
            <w:gridSpan w:val="3"/>
            <w:tcBorders>
              <w:top w:val="nil"/>
              <w:left w:val="nil"/>
              <w:bottom w:val="nil"/>
              <w:right w:val="nil"/>
            </w:tcBorders>
            <w:vAlign w:val="bottom"/>
            <w:hideMark/>
          </w:tcPr>
          <w:p w14:paraId="029907A9" w14:textId="77777777" w:rsidR="00855036" w:rsidRPr="00855036" w:rsidRDefault="00855036" w:rsidP="00855036">
            <w:pPr>
              <w:jc w:val="center"/>
              <w:rPr>
                <w:rFonts w:ascii="Calibri" w:eastAsia="Times New Roman" w:hAnsi="Calibri" w:cs="Calibri"/>
                <w:color w:val="000000"/>
                <w:kern w:val="0"/>
                <w14:ligatures w14:val="none"/>
              </w:rPr>
            </w:pPr>
          </w:p>
        </w:tc>
        <w:tc>
          <w:tcPr>
            <w:tcW w:w="3845" w:type="pct"/>
            <w:gridSpan w:val="5"/>
            <w:tcBorders>
              <w:top w:val="nil"/>
              <w:left w:val="nil"/>
              <w:bottom w:val="nil"/>
              <w:right w:val="nil"/>
            </w:tcBorders>
            <w:vAlign w:val="bottom"/>
            <w:hideMark/>
          </w:tcPr>
          <w:p w14:paraId="43C77DF0"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br/>
              <w:t xml:space="preserve">Residential bills, however, vary widely by region.  Transforming the 2022 data recently released by the Energy Commission, estimated annual household usage is as much as 82% higher in the interior regions compared to the milder </w:t>
            </w:r>
            <w:r w:rsidRPr="00855036">
              <w:rPr>
                <w:rFonts w:ascii="Calibri" w:eastAsia="Times New Roman" w:hAnsi="Calibri" w:cs="Calibri"/>
                <w:color w:val="000000"/>
                <w:kern w:val="0"/>
                <w14:ligatures w14:val="none"/>
              </w:rPr>
              <w:lastRenderedPageBreak/>
              <w:t>climate coastal areas, and substantially higher when comparing across counties.</w:t>
            </w:r>
          </w:p>
        </w:tc>
      </w:tr>
      <w:tr w:rsidR="00855036" w:rsidRPr="00855036" w14:paraId="30A4531D" w14:textId="77777777" w:rsidTr="00331E72">
        <w:trPr>
          <w:trHeight w:val="660"/>
        </w:trPr>
        <w:tc>
          <w:tcPr>
            <w:tcW w:w="1155" w:type="pct"/>
            <w:gridSpan w:val="3"/>
            <w:tcBorders>
              <w:top w:val="nil"/>
              <w:left w:val="nil"/>
              <w:bottom w:val="nil"/>
              <w:right w:val="nil"/>
            </w:tcBorders>
            <w:noWrap/>
            <w:vAlign w:val="center"/>
            <w:hideMark/>
          </w:tcPr>
          <w:p w14:paraId="7F6EC80C" w14:textId="77777777" w:rsidR="00855036" w:rsidRPr="00855036" w:rsidRDefault="00855036" w:rsidP="00855036">
            <w:pPr>
              <w:jc w:val="center"/>
              <w:rPr>
                <w:rFonts w:ascii="Arial" w:eastAsia="Times New Roman" w:hAnsi="Arial" w:cs="Arial"/>
                <w:b/>
                <w:bCs/>
                <w:color w:val="FF0000"/>
                <w:kern w:val="0"/>
                <w:sz w:val="63"/>
                <w:szCs w:val="63"/>
                <w14:ligatures w14:val="none"/>
              </w:rPr>
            </w:pPr>
            <w:r w:rsidRPr="00855036">
              <w:rPr>
                <w:rFonts w:ascii="Arial" w:eastAsia="Times New Roman" w:hAnsi="Arial" w:cs="Arial"/>
                <w:b/>
                <w:bCs/>
                <w:color w:val="4C94D8" w:themeColor="text2" w:themeTint="80"/>
                <w:kern w:val="0"/>
                <w:sz w:val="63"/>
                <w:szCs w:val="63"/>
                <w14:ligatures w14:val="none"/>
              </w:rPr>
              <w:lastRenderedPageBreak/>
              <w:t>$13.2b</w:t>
            </w:r>
          </w:p>
        </w:tc>
        <w:tc>
          <w:tcPr>
            <w:tcW w:w="3845" w:type="pct"/>
            <w:gridSpan w:val="5"/>
            <w:vMerge w:val="restart"/>
            <w:tcBorders>
              <w:top w:val="nil"/>
              <w:left w:val="nil"/>
              <w:bottom w:val="nil"/>
              <w:right w:val="nil"/>
            </w:tcBorders>
            <w:vAlign w:val="center"/>
            <w:hideMark/>
          </w:tcPr>
          <w:p w14:paraId="57FD6F51"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For the 12 months ended August 2025, California's higher electricity prices translated into Residential ratepayers paying $13.2 billion more than the average ratepayers elsewhere in the US using the same amount of energy.  Compared to the lowest cost state, California households paid $17.1 billion more.</w:t>
            </w:r>
          </w:p>
        </w:tc>
      </w:tr>
      <w:tr w:rsidR="00855036" w:rsidRPr="00855036" w14:paraId="7D77D4A1" w14:textId="77777777" w:rsidTr="00331E72">
        <w:trPr>
          <w:trHeight w:val="600"/>
        </w:trPr>
        <w:tc>
          <w:tcPr>
            <w:tcW w:w="1155" w:type="pct"/>
            <w:gridSpan w:val="3"/>
            <w:tcBorders>
              <w:top w:val="nil"/>
              <w:left w:val="nil"/>
              <w:bottom w:val="nil"/>
              <w:right w:val="nil"/>
            </w:tcBorders>
            <w:vAlign w:val="bottom"/>
            <w:hideMark/>
          </w:tcPr>
          <w:p w14:paraId="2B154D76"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Above Average for Rest of US</w:t>
            </w:r>
          </w:p>
        </w:tc>
        <w:tc>
          <w:tcPr>
            <w:tcW w:w="3845" w:type="pct"/>
            <w:gridSpan w:val="5"/>
            <w:vMerge/>
            <w:tcBorders>
              <w:top w:val="nil"/>
              <w:left w:val="nil"/>
              <w:bottom w:val="nil"/>
              <w:right w:val="nil"/>
            </w:tcBorders>
            <w:vAlign w:val="center"/>
            <w:hideMark/>
          </w:tcPr>
          <w:p w14:paraId="6B497E1B"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695D247D" w14:textId="77777777" w:rsidTr="00331E72">
        <w:trPr>
          <w:trHeight w:val="690"/>
        </w:trPr>
        <w:tc>
          <w:tcPr>
            <w:tcW w:w="1155" w:type="pct"/>
            <w:gridSpan w:val="3"/>
            <w:tcBorders>
              <w:top w:val="nil"/>
              <w:left w:val="nil"/>
              <w:bottom w:val="nil"/>
              <w:right w:val="nil"/>
            </w:tcBorders>
            <w:vAlign w:val="bottom"/>
            <w:hideMark/>
          </w:tcPr>
          <w:p w14:paraId="79252A62"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21D7E239"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720E587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2B65543B"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7FF56753" w14:textId="77777777" w:rsidTr="00E01FE2">
        <w:trPr>
          <w:trHeight w:val="465"/>
        </w:trPr>
        <w:tc>
          <w:tcPr>
            <w:tcW w:w="5000" w:type="pct"/>
            <w:gridSpan w:val="8"/>
            <w:tcBorders>
              <w:top w:val="nil"/>
              <w:left w:val="nil"/>
              <w:bottom w:val="nil"/>
              <w:right w:val="nil"/>
            </w:tcBorders>
            <w:vAlign w:val="center"/>
            <w:hideMark/>
          </w:tcPr>
          <w:p w14:paraId="354DAD12"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Commercial Electricity Price</w:t>
            </w:r>
          </w:p>
        </w:tc>
      </w:tr>
      <w:tr w:rsidR="00855036" w:rsidRPr="00855036" w14:paraId="6D4ED772" w14:textId="77777777" w:rsidTr="00331E72">
        <w:trPr>
          <w:trHeight w:val="300"/>
        </w:trPr>
        <w:tc>
          <w:tcPr>
            <w:tcW w:w="1155" w:type="pct"/>
            <w:gridSpan w:val="3"/>
            <w:tcBorders>
              <w:top w:val="nil"/>
              <w:left w:val="nil"/>
              <w:bottom w:val="nil"/>
              <w:right w:val="nil"/>
            </w:tcBorders>
            <w:vAlign w:val="bottom"/>
            <w:hideMark/>
          </w:tcPr>
          <w:p w14:paraId="0489C88D"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34DF8431"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7DDF23C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46BF97B"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DA74F22" w14:textId="77777777" w:rsidTr="00331E72">
        <w:trPr>
          <w:trHeight w:val="810"/>
        </w:trPr>
        <w:tc>
          <w:tcPr>
            <w:tcW w:w="1155" w:type="pct"/>
            <w:gridSpan w:val="3"/>
            <w:tcBorders>
              <w:top w:val="nil"/>
              <w:left w:val="nil"/>
              <w:bottom w:val="nil"/>
              <w:right w:val="nil"/>
            </w:tcBorders>
            <w:vAlign w:val="center"/>
            <w:hideMark/>
          </w:tcPr>
          <w:p w14:paraId="04AC22AF"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FF0000"/>
                <w:kern w:val="0"/>
                <w:sz w:val="63"/>
                <w:szCs w:val="63"/>
                <w14:ligatures w14:val="none"/>
              </w:rPr>
              <w:t>110.9%</w:t>
            </w:r>
          </w:p>
        </w:tc>
        <w:tc>
          <w:tcPr>
            <w:tcW w:w="3845" w:type="pct"/>
            <w:gridSpan w:val="5"/>
            <w:vMerge w:val="restart"/>
            <w:tcBorders>
              <w:top w:val="nil"/>
              <w:left w:val="nil"/>
              <w:bottom w:val="nil"/>
              <w:right w:val="nil"/>
            </w:tcBorders>
            <w:vAlign w:val="center"/>
            <w:hideMark/>
          </w:tcPr>
          <w:p w14:paraId="5ABB4733" w14:textId="7BA231FE"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California average Commercial Price for the 12 months ended August 2025 was 25.67 cents/kWh, 110.9% higher than the US average of 12.17 cents/kWh for all states other than California.  California's commercial prices were the highest among the contiguous states and DC.</w:t>
            </w:r>
          </w:p>
        </w:tc>
      </w:tr>
      <w:tr w:rsidR="00855036" w:rsidRPr="00855036" w14:paraId="3A313A33" w14:textId="77777777" w:rsidTr="00331E72">
        <w:trPr>
          <w:trHeight w:val="600"/>
        </w:trPr>
        <w:tc>
          <w:tcPr>
            <w:tcW w:w="1155" w:type="pct"/>
            <w:gridSpan w:val="3"/>
            <w:tcBorders>
              <w:top w:val="nil"/>
              <w:left w:val="nil"/>
              <w:bottom w:val="nil"/>
              <w:right w:val="nil"/>
            </w:tcBorders>
            <w:vAlign w:val="bottom"/>
            <w:hideMark/>
          </w:tcPr>
          <w:p w14:paraId="7693C2DC"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Above Average for Rest of US</w:t>
            </w:r>
          </w:p>
        </w:tc>
        <w:tc>
          <w:tcPr>
            <w:tcW w:w="3845" w:type="pct"/>
            <w:gridSpan w:val="5"/>
            <w:vMerge/>
            <w:tcBorders>
              <w:top w:val="nil"/>
              <w:left w:val="nil"/>
              <w:bottom w:val="nil"/>
              <w:right w:val="nil"/>
            </w:tcBorders>
            <w:vAlign w:val="center"/>
            <w:hideMark/>
          </w:tcPr>
          <w:p w14:paraId="1DA76743"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4292DCCA" w14:textId="77777777" w:rsidTr="00331E72">
        <w:trPr>
          <w:trHeight w:val="300"/>
        </w:trPr>
        <w:tc>
          <w:tcPr>
            <w:tcW w:w="1155" w:type="pct"/>
            <w:gridSpan w:val="3"/>
            <w:tcBorders>
              <w:top w:val="nil"/>
              <w:left w:val="nil"/>
              <w:bottom w:val="nil"/>
              <w:right w:val="nil"/>
            </w:tcBorders>
            <w:vAlign w:val="bottom"/>
            <w:hideMark/>
          </w:tcPr>
          <w:p w14:paraId="0D928D99"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4A4EDC9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center"/>
            <w:hideMark/>
          </w:tcPr>
          <w:p w14:paraId="4E71FEB9"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645E5F0"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345BBB6" w14:textId="77777777" w:rsidTr="00E01FE2">
        <w:trPr>
          <w:trHeight w:val="465"/>
        </w:trPr>
        <w:tc>
          <w:tcPr>
            <w:tcW w:w="5000" w:type="pct"/>
            <w:gridSpan w:val="8"/>
            <w:tcBorders>
              <w:top w:val="nil"/>
              <w:left w:val="nil"/>
              <w:bottom w:val="nil"/>
              <w:right w:val="nil"/>
            </w:tcBorders>
            <w:vAlign w:val="bottom"/>
            <w:hideMark/>
          </w:tcPr>
          <w:p w14:paraId="172CF87E" w14:textId="77777777"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Industrial Electricity Price</w:t>
            </w:r>
          </w:p>
        </w:tc>
      </w:tr>
      <w:tr w:rsidR="00855036" w:rsidRPr="00855036" w14:paraId="16B0CA33" w14:textId="77777777" w:rsidTr="00331E72">
        <w:trPr>
          <w:trHeight w:val="300"/>
        </w:trPr>
        <w:tc>
          <w:tcPr>
            <w:tcW w:w="1155" w:type="pct"/>
            <w:gridSpan w:val="3"/>
            <w:tcBorders>
              <w:top w:val="nil"/>
              <w:left w:val="nil"/>
              <w:bottom w:val="nil"/>
              <w:right w:val="nil"/>
            </w:tcBorders>
            <w:vAlign w:val="bottom"/>
            <w:hideMark/>
          </w:tcPr>
          <w:p w14:paraId="153F08F7"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2E47A906"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0E2C14FD"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4C2DDE2A"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5053F8A8" w14:textId="77777777" w:rsidTr="00331E72">
        <w:trPr>
          <w:trHeight w:val="810"/>
        </w:trPr>
        <w:tc>
          <w:tcPr>
            <w:tcW w:w="1155" w:type="pct"/>
            <w:gridSpan w:val="3"/>
            <w:tcBorders>
              <w:top w:val="nil"/>
              <w:left w:val="nil"/>
              <w:bottom w:val="nil"/>
              <w:right w:val="nil"/>
            </w:tcBorders>
            <w:vAlign w:val="center"/>
            <w:hideMark/>
          </w:tcPr>
          <w:p w14:paraId="1749D14F" w14:textId="77777777" w:rsidR="00855036" w:rsidRPr="00855036" w:rsidRDefault="00855036" w:rsidP="00855036">
            <w:pPr>
              <w:jc w:val="center"/>
              <w:rPr>
                <w:rFonts w:ascii="Calibri" w:eastAsia="Times New Roman" w:hAnsi="Calibri" w:cs="Calibri"/>
                <w:b/>
                <w:bCs/>
                <w:color w:val="FF0000"/>
                <w:kern w:val="0"/>
                <w:sz w:val="63"/>
                <w:szCs w:val="63"/>
                <w14:ligatures w14:val="none"/>
              </w:rPr>
            </w:pPr>
            <w:r w:rsidRPr="00855036">
              <w:rPr>
                <w:rFonts w:ascii="Calibri" w:eastAsia="Times New Roman" w:hAnsi="Calibri" w:cs="Calibri"/>
                <w:b/>
                <w:bCs/>
                <w:color w:val="4C94D8" w:themeColor="text2" w:themeTint="80"/>
                <w:kern w:val="0"/>
                <w:sz w:val="63"/>
                <w:szCs w:val="63"/>
                <w14:ligatures w14:val="none"/>
              </w:rPr>
              <w:t>174.0%</w:t>
            </w:r>
          </w:p>
        </w:tc>
        <w:tc>
          <w:tcPr>
            <w:tcW w:w="3845" w:type="pct"/>
            <w:gridSpan w:val="5"/>
            <w:vMerge w:val="restart"/>
            <w:tcBorders>
              <w:top w:val="nil"/>
              <w:left w:val="nil"/>
              <w:bottom w:val="nil"/>
              <w:right w:val="nil"/>
            </w:tcBorders>
            <w:vAlign w:val="center"/>
            <w:hideMark/>
          </w:tcPr>
          <w:p w14:paraId="05EF81D2" w14:textId="1864E7BE"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California average Industrial Price for the 12 months ended August 2025 was 21.54 cents/kWh, 174.0% higher than the US average of 7.86 cents/kWh for all states other than California.  California's industrial prices were the highest among the contiguous states and DC.</w:t>
            </w:r>
          </w:p>
        </w:tc>
      </w:tr>
      <w:tr w:rsidR="00855036" w:rsidRPr="00855036" w14:paraId="331F2BD6" w14:textId="77777777" w:rsidTr="00331E72">
        <w:trPr>
          <w:trHeight w:val="600"/>
        </w:trPr>
        <w:tc>
          <w:tcPr>
            <w:tcW w:w="1155" w:type="pct"/>
            <w:gridSpan w:val="3"/>
            <w:tcBorders>
              <w:top w:val="nil"/>
              <w:left w:val="nil"/>
              <w:bottom w:val="nil"/>
              <w:right w:val="nil"/>
            </w:tcBorders>
            <w:vAlign w:val="bottom"/>
            <w:hideMark/>
          </w:tcPr>
          <w:p w14:paraId="407714AE"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Above Average for Rest of US</w:t>
            </w:r>
          </w:p>
        </w:tc>
        <w:tc>
          <w:tcPr>
            <w:tcW w:w="3845" w:type="pct"/>
            <w:gridSpan w:val="5"/>
            <w:vMerge/>
            <w:tcBorders>
              <w:top w:val="nil"/>
              <w:left w:val="nil"/>
              <w:bottom w:val="nil"/>
              <w:right w:val="nil"/>
            </w:tcBorders>
            <w:vAlign w:val="center"/>
            <w:hideMark/>
          </w:tcPr>
          <w:p w14:paraId="33613446"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2C68A929" w14:textId="77777777" w:rsidTr="00331E72">
        <w:trPr>
          <w:trHeight w:val="300"/>
        </w:trPr>
        <w:tc>
          <w:tcPr>
            <w:tcW w:w="1155" w:type="pct"/>
            <w:gridSpan w:val="3"/>
            <w:tcBorders>
              <w:top w:val="nil"/>
              <w:left w:val="nil"/>
              <w:bottom w:val="nil"/>
              <w:right w:val="nil"/>
            </w:tcBorders>
            <w:vAlign w:val="bottom"/>
            <w:hideMark/>
          </w:tcPr>
          <w:p w14:paraId="4DE17261"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5CEDD192"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2A8DC22E"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1B5F2705"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49ED5877" w14:textId="77777777" w:rsidTr="00331E72">
        <w:trPr>
          <w:trHeight w:val="795"/>
        </w:trPr>
        <w:tc>
          <w:tcPr>
            <w:tcW w:w="1155" w:type="pct"/>
            <w:gridSpan w:val="3"/>
            <w:tcBorders>
              <w:top w:val="nil"/>
              <w:left w:val="nil"/>
              <w:bottom w:val="nil"/>
              <w:right w:val="nil"/>
            </w:tcBorders>
            <w:noWrap/>
            <w:vAlign w:val="center"/>
            <w:hideMark/>
          </w:tcPr>
          <w:p w14:paraId="462E422A" w14:textId="77777777" w:rsidR="00855036" w:rsidRPr="00855036" w:rsidRDefault="00855036" w:rsidP="00855036">
            <w:pPr>
              <w:jc w:val="center"/>
              <w:rPr>
                <w:rFonts w:ascii="Arial" w:eastAsia="Times New Roman" w:hAnsi="Arial" w:cs="Arial"/>
                <w:b/>
                <w:bCs/>
                <w:color w:val="FF0000"/>
                <w:kern w:val="0"/>
                <w:sz w:val="63"/>
                <w:szCs w:val="63"/>
                <w14:ligatures w14:val="none"/>
              </w:rPr>
            </w:pPr>
            <w:r w:rsidRPr="00855036">
              <w:rPr>
                <w:rFonts w:ascii="Arial" w:eastAsia="Times New Roman" w:hAnsi="Arial" w:cs="Arial"/>
                <w:b/>
                <w:bCs/>
                <w:color w:val="FF0000"/>
                <w:kern w:val="0"/>
                <w:sz w:val="63"/>
                <w:szCs w:val="63"/>
                <w14:ligatures w14:val="none"/>
              </w:rPr>
              <w:t>$21.3b</w:t>
            </w:r>
          </w:p>
        </w:tc>
        <w:tc>
          <w:tcPr>
            <w:tcW w:w="3845" w:type="pct"/>
            <w:gridSpan w:val="5"/>
            <w:vMerge w:val="restart"/>
            <w:tcBorders>
              <w:top w:val="nil"/>
              <w:left w:val="nil"/>
              <w:bottom w:val="nil"/>
              <w:right w:val="nil"/>
            </w:tcBorders>
            <w:vAlign w:val="center"/>
            <w:hideMark/>
          </w:tcPr>
          <w:p w14:paraId="77AD2EE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For the 12 months ended August 2025, California's higher electricity prices translated into Commercial &amp; Industrial ratepayers paying $21.3 billion more than ratepayers elsewhere in the US using the same amount of energy.  Compared to the lowest rate states, Commercial &amp; Industrial ratepayers paid $27.7 billion more.</w:t>
            </w:r>
          </w:p>
        </w:tc>
      </w:tr>
      <w:tr w:rsidR="00855036" w:rsidRPr="00855036" w14:paraId="28A5ADDC" w14:textId="77777777" w:rsidTr="00331E72">
        <w:trPr>
          <w:trHeight w:val="600"/>
        </w:trPr>
        <w:tc>
          <w:tcPr>
            <w:tcW w:w="1155" w:type="pct"/>
            <w:gridSpan w:val="3"/>
            <w:tcBorders>
              <w:top w:val="nil"/>
              <w:left w:val="nil"/>
              <w:bottom w:val="nil"/>
              <w:right w:val="nil"/>
            </w:tcBorders>
            <w:vAlign w:val="bottom"/>
            <w:hideMark/>
          </w:tcPr>
          <w:p w14:paraId="3167B382" w14:textId="77777777" w:rsidR="00855036" w:rsidRPr="00855036" w:rsidRDefault="00855036" w:rsidP="00855036">
            <w:pPr>
              <w:jc w:val="cente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Above Average for Rest of US</w:t>
            </w:r>
          </w:p>
        </w:tc>
        <w:tc>
          <w:tcPr>
            <w:tcW w:w="3845" w:type="pct"/>
            <w:gridSpan w:val="5"/>
            <w:vMerge/>
            <w:tcBorders>
              <w:top w:val="nil"/>
              <w:left w:val="nil"/>
              <w:bottom w:val="nil"/>
              <w:right w:val="nil"/>
            </w:tcBorders>
            <w:vAlign w:val="center"/>
            <w:hideMark/>
          </w:tcPr>
          <w:p w14:paraId="725E59BD" w14:textId="77777777" w:rsidR="00855036" w:rsidRPr="00855036" w:rsidRDefault="00855036" w:rsidP="00855036">
            <w:pPr>
              <w:rPr>
                <w:rFonts w:ascii="Calibri" w:eastAsia="Times New Roman" w:hAnsi="Calibri" w:cs="Calibri"/>
                <w:color w:val="000000"/>
                <w:kern w:val="0"/>
                <w14:ligatures w14:val="none"/>
              </w:rPr>
            </w:pPr>
          </w:p>
        </w:tc>
      </w:tr>
      <w:tr w:rsidR="00855036" w:rsidRPr="00855036" w14:paraId="5E573C44" w14:textId="77777777" w:rsidTr="00331E72">
        <w:trPr>
          <w:trHeight w:val="300"/>
        </w:trPr>
        <w:tc>
          <w:tcPr>
            <w:tcW w:w="1155" w:type="pct"/>
            <w:gridSpan w:val="3"/>
            <w:tcBorders>
              <w:top w:val="nil"/>
              <w:left w:val="nil"/>
              <w:bottom w:val="nil"/>
              <w:right w:val="nil"/>
            </w:tcBorders>
            <w:vAlign w:val="bottom"/>
            <w:hideMark/>
          </w:tcPr>
          <w:p w14:paraId="770B90AF" w14:textId="77777777" w:rsidR="00855036" w:rsidRPr="00855036" w:rsidRDefault="00855036" w:rsidP="00855036">
            <w:pPr>
              <w:jc w:val="cente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11BA7985"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39D4A52E"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bottom"/>
            <w:hideMark/>
          </w:tcPr>
          <w:p w14:paraId="2DD1A297"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1F109E47" w14:textId="77777777" w:rsidTr="00E01FE2">
        <w:trPr>
          <w:trHeight w:val="465"/>
        </w:trPr>
        <w:tc>
          <w:tcPr>
            <w:tcW w:w="5000" w:type="pct"/>
            <w:gridSpan w:val="8"/>
            <w:tcBorders>
              <w:top w:val="nil"/>
              <w:left w:val="nil"/>
              <w:bottom w:val="nil"/>
              <w:right w:val="nil"/>
            </w:tcBorders>
            <w:vAlign w:val="center"/>
            <w:hideMark/>
          </w:tcPr>
          <w:p w14:paraId="3AEE7780" w14:textId="6BD0E101" w:rsidR="008F2FAF" w:rsidRDefault="008F2FAF" w:rsidP="00855036">
            <w:pPr>
              <w:rPr>
                <w:rFonts w:ascii="Georgia" w:eastAsia="Times New Roman" w:hAnsi="Georgia" w:cs="Calibri"/>
                <w:b/>
                <w:bCs/>
                <w:color w:val="000000"/>
                <w:kern w:val="0"/>
                <w:sz w:val="36"/>
                <w:szCs w:val="36"/>
                <w14:ligatures w14:val="none"/>
              </w:rPr>
            </w:pPr>
            <w:r>
              <w:rPr>
                <w:rFonts w:ascii="Georgia" w:eastAsia="Times New Roman" w:hAnsi="Georgia" w:cs="Calibri"/>
                <w:b/>
                <w:bCs/>
                <w:color w:val="000000"/>
                <w:kern w:val="0"/>
                <w:sz w:val="36"/>
                <w:szCs w:val="36"/>
                <w14:ligatures w14:val="none"/>
              </w:rPr>
              <w:t>EV Charging Rates</w:t>
            </w:r>
          </w:p>
          <w:p w14:paraId="1A32F6E6" w14:textId="77777777" w:rsidR="008F2FAF" w:rsidRDefault="008F2FAF" w:rsidP="00855036">
            <w:pPr>
              <w:rPr>
                <w:rFonts w:ascii="Georgia" w:eastAsia="Times New Roman" w:hAnsi="Georgia" w:cs="Calibri"/>
                <w:color w:val="000000"/>
                <w:kern w:val="0"/>
                <w14:ligatures w14:val="none"/>
              </w:rPr>
            </w:pPr>
          </w:p>
          <w:tbl>
            <w:tblPr>
              <w:tblW w:w="5000" w:type="pct"/>
              <w:tblLook w:val="04A0" w:firstRow="1" w:lastRow="0" w:firstColumn="1" w:lastColumn="0" w:noHBand="0" w:noVBand="1"/>
            </w:tblPr>
            <w:tblGrid>
              <w:gridCol w:w="1924"/>
              <w:gridCol w:w="4722"/>
              <w:gridCol w:w="2498"/>
            </w:tblGrid>
            <w:tr w:rsidR="008F2FAF" w:rsidRPr="00855036" w14:paraId="53D478D7" w14:textId="77777777" w:rsidTr="003F646C">
              <w:trPr>
                <w:trHeight w:val="795"/>
              </w:trPr>
              <w:tc>
                <w:tcPr>
                  <w:tcW w:w="1052" w:type="pct"/>
                  <w:tcBorders>
                    <w:top w:val="nil"/>
                    <w:left w:val="nil"/>
                    <w:bottom w:val="nil"/>
                    <w:right w:val="nil"/>
                  </w:tcBorders>
                  <w:noWrap/>
                  <w:vAlign w:val="center"/>
                  <w:hideMark/>
                </w:tcPr>
                <w:p w14:paraId="5093A531" w14:textId="681E0DC9" w:rsidR="008F2FAF" w:rsidRPr="00855036" w:rsidRDefault="008F2FAF" w:rsidP="008F2FAF">
                  <w:pPr>
                    <w:jc w:val="center"/>
                    <w:rPr>
                      <w:rFonts w:ascii="Arial" w:eastAsia="Times New Roman" w:hAnsi="Arial" w:cs="Arial"/>
                      <w:b/>
                      <w:bCs/>
                      <w:color w:val="FF0000"/>
                      <w:kern w:val="0"/>
                      <w:sz w:val="63"/>
                      <w:szCs w:val="63"/>
                      <w14:ligatures w14:val="none"/>
                    </w:rPr>
                  </w:pPr>
                  <w:r w:rsidRPr="008F2FAF">
                    <w:rPr>
                      <w:rFonts w:ascii="Arial" w:eastAsia="Times New Roman" w:hAnsi="Arial" w:cs="Arial"/>
                      <w:b/>
                      <w:bCs/>
                      <w:kern w:val="0"/>
                      <w:sz w:val="63"/>
                      <w:szCs w:val="63"/>
                      <w14:ligatures w14:val="none"/>
                    </w:rPr>
                    <w:t>11th</w:t>
                  </w:r>
                </w:p>
              </w:tc>
              <w:tc>
                <w:tcPr>
                  <w:tcW w:w="3948" w:type="pct"/>
                  <w:gridSpan w:val="2"/>
                  <w:vMerge w:val="restart"/>
                  <w:tcBorders>
                    <w:top w:val="nil"/>
                    <w:left w:val="nil"/>
                    <w:bottom w:val="nil"/>
                    <w:right w:val="nil"/>
                  </w:tcBorders>
                  <w:vAlign w:val="center"/>
                  <w:hideMark/>
                </w:tcPr>
                <w:p w14:paraId="10B12F65" w14:textId="77777777" w:rsidR="008F2FAF" w:rsidRDefault="008F2FAF" w:rsidP="008F2FAF">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California’s high electricity rates also affect a number of other public policies.  Using the average </w:t>
                  </w:r>
                  <w:hyperlink r:id="rId22" w:history="1">
                    <w:r w:rsidRPr="008F2FAF">
                      <w:rPr>
                        <w:rStyle w:val="Hyperlink"/>
                        <w:rFonts w:ascii="Calibri" w:eastAsia="Times New Roman" w:hAnsi="Calibri" w:cs="Calibri"/>
                        <w:kern w:val="0"/>
                        <w14:ligatures w14:val="none"/>
                      </w:rPr>
                      <w:t>public charging rates</w:t>
                    </w:r>
                  </w:hyperlink>
                  <w:r>
                    <w:rPr>
                      <w:rFonts w:ascii="Calibri" w:eastAsia="Times New Roman" w:hAnsi="Calibri" w:cs="Calibri"/>
                      <w:color w:val="000000"/>
                      <w:kern w:val="0"/>
                      <w14:ligatures w14:val="none"/>
                    </w:rPr>
                    <w:t xml:space="preserve"> from AAA as of November 7, California tied with 3 other states for the 11</w:t>
                  </w:r>
                  <w:r w:rsidRPr="008F2FAF">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highest cost among the contiguous states.  At 40.5 cents per kWh, the average California rate was 8.9% higher than the overall US average.  States ranged from 26.1 cents in Kansas to 53.6 cents in West Virginia.</w:t>
                  </w:r>
                </w:p>
                <w:tbl>
                  <w:tblPr>
                    <w:tblW w:w="5965" w:type="dxa"/>
                    <w:tblLook w:val="04A0" w:firstRow="1" w:lastRow="0" w:firstColumn="1" w:lastColumn="0" w:noHBand="0" w:noVBand="1"/>
                  </w:tblPr>
                  <w:tblGrid>
                    <w:gridCol w:w="2538"/>
                    <w:gridCol w:w="1081"/>
                    <w:gridCol w:w="774"/>
                    <w:gridCol w:w="1659"/>
                  </w:tblGrid>
                  <w:tr w:rsidR="00F163F9" w:rsidRPr="00F163F9" w14:paraId="7A6C7868" w14:textId="77777777" w:rsidTr="00F163F9">
                    <w:trPr>
                      <w:trHeight w:val="315"/>
                    </w:trPr>
                    <w:tc>
                      <w:tcPr>
                        <w:tcW w:w="5965" w:type="dxa"/>
                        <w:gridSpan w:val="4"/>
                        <w:tcBorders>
                          <w:top w:val="nil"/>
                          <w:left w:val="nil"/>
                          <w:bottom w:val="nil"/>
                          <w:right w:val="nil"/>
                        </w:tcBorders>
                        <w:noWrap/>
                        <w:vAlign w:val="center"/>
                        <w:hideMark/>
                      </w:tcPr>
                      <w:p w14:paraId="1107AF50" w14:textId="77777777" w:rsidR="00F163F9" w:rsidRDefault="00F163F9" w:rsidP="00F163F9">
                        <w:pPr>
                          <w:rPr>
                            <w:rFonts w:ascii="Calibri" w:eastAsia="Times New Roman" w:hAnsi="Calibri" w:cs="Calibri"/>
                            <w:b/>
                            <w:bCs/>
                            <w:color w:val="000000"/>
                            <w:kern w:val="0"/>
                            <w:sz w:val="24"/>
                            <w:szCs w:val="24"/>
                            <w14:ligatures w14:val="none"/>
                          </w:rPr>
                        </w:pPr>
                      </w:p>
                      <w:p w14:paraId="4A3BFD2D" w14:textId="600A951F" w:rsidR="00F163F9" w:rsidRPr="00F163F9" w:rsidRDefault="00F163F9" w:rsidP="00F163F9">
                        <w:pPr>
                          <w:rPr>
                            <w:rFonts w:ascii="Calibri" w:eastAsia="Times New Roman" w:hAnsi="Calibri" w:cs="Calibri"/>
                            <w:b/>
                            <w:bCs/>
                            <w:color w:val="000000"/>
                            <w:kern w:val="0"/>
                            <w:sz w:val="24"/>
                            <w:szCs w:val="24"/>
                            <w14:ligatures w14:val="none"/>
                          </w:rPr>
                        </w:pPr>
                        <w:r w:rsidRPr="00F163F9">
                          <w:rPr>
                            <w:rFonts w:ascii="Calibri" w:eastAsia="Times New Roman" w:hAnsi="Calibri" w:cs="Calibri"/>
                            <w:b/>
                            <w:bCs/>
                            <w:color w:val="000000"/>
                            <w:kern w:val="0"/>
                            <w:sz w:val="24"/>
                            <w:szCs w:val="24"/>
                            <w14:ligatures w14:val="none"/>
                          </w:rPr>
                          <w:t>Fueling Cost Comparison, Public Charging vs. Gasoline</w:t>
                        </w:r>
                      </w:p>
                    </w:tc>
                  </w:tr>
                  <w:tr w:rsidR="00F163F9" w:rsidRPr="00F163F9" w14:paraId="6F3E253D" w14:textId="77777777" w:rsidTr="00F163F9">
                    <w:trPr>
                      <w:trHeight w:val="225"/>
                    </w:trPr>
                    <w:tc>
                      <w:tcPr>
                        <w:tcW w:w="5965" w:type="dxa"/>
                        <w:gridSpan w:val="4"/>
                        <w:tcBorders>
                          <w:top w:val="nil"/>
                          <w:left w:val="nil"/>
                          <w:bottom w:val="nil"/>
                          <w:right w:val="nil"/>
                        </w:tcBorders>
                        <w:noWrap/>
                        <w:vAlign w:val="center"/>
                        <w:hideMark/>
                      </w:tcPr>
                      <w:p w14:paraId="2E54333B" w14:textId="77777777" w:rsidR="00F163F9" w:rsidRPr="00F163F9" w:rsidRDefault="00F163F9" w:rsidP="00F163F9">
                        <w:pPr>
                          <w:rPr>
                            <w:rFonts w:ascii="Calibri" w:eastAsia="Times New Roman" w:hAnsi="Calibri" w:cs="Calibri"/>
                            <w:i/>
                            <w:iCs/>
                            <w:color w:val="000000"/>
                            <w:kern w:val="0"/>
                            <w:sz w:val="16"/>
                            <w:szCs w:val="16"/>
                            <w14:ligatures w14:val="none"/>
                          </w:rPr>
                        </w:pPr>
                        <w:r w:rsidRPr="00F163F9">
                          <w:rPr>
                            <w:rFonts w:ascii="Calibri" w:eastAsia="Times New Roman" w:hAnsi="Calibri" w:cs="Calibri"/>
                            <w:i/>
                            <w:iCs/>
                            <w:color w:val="000000"/>
                            <w:kern w:val="0"/>
                            <w:sz w:val="16"/>
                            <w:szCs w:val="16"/>
                            <w14:ligatures w14:val="none"/>
                          </w:rPr>
                          <w:t>Source:  see text</w:t>
                        </w:r>
                      </w:p>
                    </w:tc>
                  </w:tr>
                  <w:tr w:rsidR="00F163F9" w:rsidRPr="00F163F9" w14:paraId="0D97599C" w14:textId="77777777" w:rsidTr="00F163F9">
                    <w:trPr>
                      <w:trHeight w:val="210"/>
                    </w:trPr>
                    <w:tc>
                      <w:tcPr>
                        <w:tcW w:w="5965" w:type="dxa"/>
                        <w:gridSpan w:val="4"/>
                        <w:tcBorders>
                          <w:top w:val="nil"/>
                          <w:left w:val="nil"/>
                          <w:bottom w:val="single" w:sz="8" w:space="0" w:color="auto"/>
                          <w:right w:val="nil"/>
                        </w:tcBorders>
                        <w:noWrap/>
                        <w:vAlign w:val="center"/>
                        <w:hideMark/>
                      </w:tcPr>
                      <w:p w14:paraId="3E2787F3" w14:textId="77777777" w:rsidR="00F163F9" w:rsidRPr="00F163F9" w:rsidRDefault="00F163F9" w:rsidP="00F163F9">
                        <w:pPr>
                          <w:jc w:val="center"/>
                          <w:rPr>
                            <w:rFonts w:ascii="Calibri" w:eastAsia="Times New Roman" w:hAnsi="Calibri" w:cs="Calibri"/>
                            <w:color w:val="000000"/>
                            <w:kern w:val="0"/>
                            <w14:ligatures w14:val="none"/>
                          </w:rPr>
                        </w:pPr>
                        <w:r w:rsidRPr="00F163F9">
                          <w:rPr>
                            <w:rFonts w:ascii="Calibri" w:eastAsia="Times New Roman" w:hAnsi="Calibri" w:cs="Calibri"/>
                            <w:color w:val="000000"/>
                            <w:kern w:val="0"/>
                            <w14:ligatures w14:val="none"/>
                          </w:rPr>
                          <w:t> </w:t>
                        </w:r>
                      </w:p>
                    </w:tc>
                  </w:tr>
                  <w:tr w:rsidR="00F163F9" w:rsidRPr="00F163F9" w14:paraId="104D4AFB" w14:textId="77777777" w:rsidTr="00F163F9">
                    <w:trPr>
                      <w:trHeight w:val="315"/>
                    </w:trPr>
                    <w:tc>
                      <w:tcPr>
                        <w:tcW w:w="2538" w:type="dxa"/>
                        <w:tcBorders>
                          <w:top w:val="nil"/>
                          <w:left w:val="nil"/>
                          <w:bottom w:val="single" w:sz="8" w:space="0" w:color="auto"/>
                          <w:right w:val="nil"/>
                        </w:tcBorders>
                        <w:noWrap/>
                        <w:vAlign w:val="center"/>
                        <w:hideMark/>
                      </w:tcPr>
                      <w:p w14:paraId="02557178" w14:textId="77777777" w:rsidR="00F163F9" w:rsidRPr="00F163F9" w:rsidRDefault="00F163F9" w:rsidP="00F163F9">
                        <w:pP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 </w:t>
                        </w:r>
                      </w:p>
                    </w:tc>
                    <w:tc>
                      <w:tcPr>
                        <w:tcW w:w="1081" w:type="dxa"/>
                        <w:tcBorders>
                          <w:top w:val="nil"/>
                          <w:left w:val="nil"/>
                          <w:bottom w:val="single" w:sz="8" w:space="0" w:color="auto"/>
                          <w:right w:val="nil"/>
                        </w:tcBorders>
                        <w:noWrap/>
                        <w:vAlign w:val="center"/>
                        <w:hideMark/>
                      </w:tcPr>
                      <w:p w14:paraId="22EEBA20" w14:textId="77777777" w:rsidR="00F163F9" w:rsidRPr="00F163F9" w:rsidRDefault="00F163F9" w:rsidP="00F163F9">
                        <w:pPr>
                          <w:jc w:val="center"/>
                          <w:rPr>
                            <w:rFonts w:ascii="Calibri" w:eastAsia="Times New Roman" w:hAnsi="Calibri" w:cs="Calibri"/>
                            <w:b/>
                            <w:bCs/>
                            <w:color w:val="000000"/>
                            <w:kern w:val="0"/>
                            <w:sz w:val="20"/>
                            <w:szCs w:val="20"/>
                            <w14:ligatures w14:val="none"/>
                          </w:rPr>
                        </w:pPr>
                        <w:r w:rsidRPr="00F163F9">
                          <w:rPr>
                            <w:rFonts w:ascii="Calibri" w:eastAsia="Times New Roman" w:hAnsi="Calibri" w:cs="Calibri"/>
                            <w:b/>
                            <w:bCs/>
                            <w:color w:val="000000"/>
                            <w:kern w:val="0"/>
                            <w:sz w:val="20"/>
                            <w:szCs w:val="20"/>
                            <w14:ligatures w14:val="none"/>
                          </w:rPr>
                          <w:t>Model Y</w:t>
                        </w:r>
                      </w:p>
                    </w:tc>
                    <w:tc>
                      <w:tcPr>
                        <w:tcW w:w="687" w:type="dxa"/>
                        <w:tcBorders>
                          <w:top w:val="nil"/>
                          <w:left w:val="nil"/>
                          <w:bottom w:val="single" w:sz="8" w:space="0" w:color="auto"/>
                          <w:right w:val="nil"/>
                        </w:tcBorders>
                        <w:noWrap/>
                        <w:vAlign w:val="center"/>
                        <w:hideMark/>
                      </w:tcPr>
                      <w:p w14:paraId="3B671394" w14:textId="77777777" w:rsidR="00F163F9" w:rsidRPr="00F163F9" w:rsidRDefault="00F163F9" w:rsidP="00F163F9">
                        <w:pPr>
                          <w:jc w:val="center"/>
                          <w:rPr>
                            <w:rFonts w:ascii="Calibri" w:eastAsia="Times New Roman" w:hAnsi="Calibri" w:cs="Calibri"/>
                            <w:b/>
                            <w:bCs/>
                            <w:color w:val="000000"/>
                            <w:kern w:val="0"/>
                            <w:sz w:val="20"/>
                            <w:szCs w:val="20"/>
                            <w14:ligatures w14:val="none"/>
                          </w:rPr>
                        </w:pPr>
                        <w:r w:rsidRPr="00F163F9">
                          <w:rPr>
                            <w:rFonts w:ascii="Calibri" w:eastAsia="Times New Roman" w:hAnsi="Calibri" w:cs="Calibri"/>
                            <w:b/>
                            <w:bCs/>
                            <w:color w:val="000000"/>
                            <w:kern w:val="0"/>
                            <w:sz w:val="20"/>
                            <w:szCs w:val="20"/>
                            <w14:ligatures w14:val="none"/>
                          </w:rPr>
                          <w:t>RAV4</w:t>
                        </w:r>
                      </w:p>
                    </w:tc>
                    <w:tc>
                      <w:tcPr>
                        <w:tcW w:w="1659" w:type="dxa"/>
                        <w:tcBorders>
                          <w:top w:val="nil"/>
                          <w:left w:val="nil"/>
                          <w:bottom w:val="single" w:sz="8" w:space="0" w:color="auto"/>
                          <w:right w:val="nil"/>
                        </w:tcBorders>
                        <w:noWrap/>
                        <w:vAlign w:val="center"/>
                        <w:hideMark/>
                      </w:tcPr>
                      <w:p w14:paraId="7C66D6D9" w14:textId="77777777" w:rsidR="00F163F9" w:rsidRPr="00F163F9" w:rsidRDefault="00F163F9" w:rsidP="00F163F9">
                        <w:pPr>
                          <w:jc w:val="center"/>
                          <w:rPr>
                            <w:rFonts w:ascii="Calibri" w:eastAsia="Times New Roman" w:hAnsi="Calibri" w:cs="Calibri"/>
                            <w:b/>
                            <w:bCs/>
                            <w:color w:val="000000"/>
                            <w:kern w:val="0"/>
                            <w:sz w:val="20"/>
                            <w:szCs w:val="20"/>
                            <w14:ligatures w14:val="none"/>
                          </w:rPr>
                        </w:pPr>
                        <w:r w:rsidRPr="00F163F9">
                          <w:rPr>
                            <w:rFonts w:ascii="Calibri" w:eastAsia="Times New Roman" w:hAnsi="Calibri" w:cs="Calibri"/>
                            <w:b/>
                            <w:bCs/>
                            <w:color w:val="000000"/>
                            <w:kern w:val="0"/>
                            <w:sz w:val="20"/>
                            <w:szCs w:val="20"/>
                            <w14:ligatures w14:val="none"/>
                          </w:rPr>
                          <w:t>Cost/100 miles</w:t>
                        </w:r>
                      </w:p>
                    </w:tc>
                  </w:tr>
                  <w:tr w:rsidR="00F163F9" w:rsidRPr="00F163F9" w14:paraId="0E5BB719" w14:textId="77777777" w:rsidTr="00F163F9">
                    <w:trPr>
                      <w:trHeight w:val="300"/>
                    </w:trPr>
                    <w:tc>
                      <w:tcPr>
                        <w:tcW w:w="2538" w:type="dxa"/>
                        <w:tcBorders>
                          <w:top w:val="nil"/>
                          <w:left w:val="nil"/>
                          <w:bottom w:val="nil"/>
                          <w:right w:val="nil"/>
                        </w:tcBorders>
                        <w:noWrap/>
                        <w:vAlign w:val="center"/>
                        <w:hideMark/>
                      </w:tcPr>
                      <w:p w14:paraId="00423450" w14:textId="77777777" w:rsidR="00F163F9" w:rsidRPr="00F163F9" w:rsidRDefault="00F163F9" w:rsidP="00F163F9">
                        <w:pP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Electricity, California</w:t>
                        </w:r>
                      </w:p>
                    </w:tc>
                    <w:tc>
                      <w:tcPr>
                        <w:tcW w:w="1081" w:type="dxa"/>
                        <w:tcBorders>
                          <w:top w:val="nil"/>
                          <w:left w:val="nil"/>
                          <w:bottom w:val="nil"/>
                          <w:right w:val="nil"/>
                        </w:tcBorders>
                        <w:noWrap/>
                        <w:vAlign w:val="center"/>
                        <w:hideMark/>
                      </w:tcPr>
                      <w:p w14:paraId="06DD8C3A"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$0.405</w:t>
                        </w:r>
                      </w:p>
                    </w:tc>
                    <w:tc>
                      <w:tcPr>
                        <w:tcW w:w="687" w:type="dxa"/>
                        <w:tcBorders>
                          <w:top w:val="nil"/>
                          <w:left w:val="nil"/>
                          <w:bottom w:val="nil"/>
                          <w:right w:val="nil"/>
                        </w:tcBorders>
                        <w:noWrap/>
                        <w:vAlign w:val="center"/>
                        <w:hideMark/>
                      </w:tcPr>
                      <w:p w14:paraId="7C593228" w14:textId="77777777" w:rsidR="00F163F9" w:rsidRPr="00F163F9" w:rsidRDefault="00F163F9" w:rsidP="00F163F9">
                        <w:pPr>
                          <w:jc w:val="center"/>
                          <w:rPr>
                            <w:rFonts w:ascii="Calibri" w:eastAsia="Times New Roman" w:hAnsi="Calibri" w:cs="Calibri"/>
                            <w:color w:val="000000"/>
                            <w:kern w:val="0"/>
                            <w:sz w:val="20"/>
                            <w:szCs w:val="20"/>
                            <w14:ligatures w14:val="none"/>
                          </w:rPr>
                        </w:pPr>
                      </w:p>
                    </w:tc>
                    <w:tc>
                      <w:tcPr>
                        <w:tcW w:w="1659" w:type="dxa"/>
                        <w:tcBorders>
                          <w:top w:val="nil"/>
                          <w:left w:val="nil"/>
                          <w:bottom w:val="nil"/>
                          <w:right w:val="nil"/>
                        </w:tcBorders>
                        <w:noWrap/>
                        <w:vAlign w:val="center"/>
                        <w:hideMark/>
                      </w:tcPr>
                      <w:p w14:paraId="04E633BE"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$12.15</w:t>
                        </w:r>
                      </w:p>
                    </w:tc>
                  </w:tr>
                  <w:tr w:rsidR="00F163F9" w:rsidRPr="00F163F9" w14:paraId="028617E9" w14:textId="77777777" w:rsidTr="00F163F9">
                    <w:trPr>
                      <w:trHeight w:val="300"/>
                    </w:trPr>
                    <w:tc>
                      <w:tcPr>
                        <w:tcW w:w="2538" w:type="dxa"/>
                        <w:tcBorders>
                          <w:top w:val="nil"/>
                          <w:left w:val="nil"/>
                          <w:bottom w:val="nil"/>
                          <w:right w:val="nil"/>
                        </w:tcBorders>
                        <w:noWrap/>
                        <w:vAlign w:val="center"/>
                        <w:hideMark/>
                      </w:tcPr>
                      <w:p w14:paraId="6F8C00F6" w14:textId="77777777" w:rsidR="00F163F9" w:rsidRPr="00F163F9" w:rsidRDefault="00F163F9" w:rsidP="00F163F9">
                        <w:pP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Gasoline, California</w:t>
                        </w:r>
                      </w:p>
                    </w:tc>
                    <w:tc>
                      <w:tcPr>
                        <w:tcW w:w="1081" w:type="dxa"/>
                        <w:tcBorders>
                          <w:top w:val="nil"/>
                          <w:left w:val="nil"/>
                          <w:bottom w:val="nil"/>
                          <w:right w:val="nil"/>
                        </w:tcBorders>
                        <w:noWrap/>
                        <w:vAlign w:val="center"/>
                        <w:hideMark/>
                      </w:tcPr>
                      <w:p w14:paraId="690DD720" w14:textId="77777777" w:rsidR="00F163F9" w:rsidRPr="00F163F9" w:rsidRDefault="00F163F9" w:rsidP="00F163F9">
                        <w:pPr>
                          <w:rPr>
                            <w:rFonts w:ascii="Calibri" w:eastAsia="Times New Roman" w:hAnsi="Calibri" w:cs="Calibri"/>
                            <w:color w:val="000000"/>
                            <w:kern w:val="0"/>
                            <w:sz w:val="20"/>
                            <w:szCs w:val="20"/>
                            <w14:ligatures w14:val="none"/>
                          </w:rPr>
                        </w:pPr>
                      </w:p>
                    </w:tc>
                    <w:tc>
                      <w:tcPr>
                        <w:tcW w:w="687" w:type="dxa"/>
                        <w:tcBorders>
                          <w:top w:val="nil"/>
                          <w:left w:val="nil"/>
                          <w:bottom w:val="nil"/>
                          <w:right w:val="nil"/>
                        </w:tcBorders>
                        <w:noWrap/>
                        <w:vAlign w:val="center"/>
                        <w:hideMark/>
                      </w:tcPr>
                      <w:p w14:paraId="5302C6E8"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$4.642</w:t>
                        </w:r>
                      </w:p>
                    </w:tc>
                    <w:tc>
                      <w:tcPr>
                        <w:tcW w:w="1659" w:type="dxa"/>
                        <w:tcBorders>
                          <w:top w:val="nil"/>
                          <w:left w:val="nil"/>
                          <w:bottom w:val="nil"/>
                          <w:right w:val="nil"/>
                        </w:tcBorders>
                        <w:noWrap/>
                        <w:vAlign w:val="center"/>
                        <w:hideMark/>
                      </w:tcPr>
                      <w:p w14:paraId="2C959BC8"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$16.01</w:t>
                        </w:r>
                      </w:p>
                    </w:tc>
                  </w:tr>
                  <w:tr w:rsidR="00F163F9" w:rsidRPr="00F163F9" w14:paraId="42C3C3FD" w14:textId="77777777" w:rsidTr="00F163F9">
                    <w:trPr>
                      <w:trHeight w:val="300"/>
                    </w:trPr>
                    <w:tc>
                      <w:tcPr>
                        <w:tcW w:w="2538" w:type="dxa"/>
                        <w:tcBorders>
                          <w:top w:val="nil"/>
                          <w:left w:val="nil"/>
                          <w:bottom w:val="nil"/>
                          <w:right w:val="nil"/>
                        </w:tcBorders>
                        <w:noWrap/>
                        <w:vAlign w:val="center"/>
                        <w:hideMark/>
                      </w:tcPr>
                      <w:p w14:paraId="6D4FE75C" w14:textId="77777777" w:rsidR="00F163F9" w:rsidRPr="00F163F9" w:rsidRDefault="00F163F9" w:rsidP="00F163F9">
                        <w:pP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Electricity, Other States</w:t>
                        </w:r>
                      </w:p>
                    </w:tc>
                    <w:tc>
                      <w:tcPr>
                        <w:tcW w:w="1081" w:type="dxa"/>
                        <w:tcBorders>
                          <w:top w:val="nil"/>
                          <w:left w:val="nil"/>
                          <w:bottom w:val="nil"/>
                          <w:right w:val="nil"/>
                        </w:tcBorders>
                        <w:noWrap/>
                        <w:vAlign w:val="center"/>
                        <w:hideMark/>
                      </w:tcPr>
                      <w:p w14:paraId="2D6BAA96"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$0.359</w:t>
                        </w:r>
                      </w:p>
                    </w:tc>
                    <w:tc>
                      <w:tcPr>
                        <w:tcW w:w="687" w:type="dxa"/>
                        <w:tcBorders>
                          <w:top w:val="nil"/>
                          <w:left w:val="nil"/>
                          <w:bottom w:val="nil"/>
                          <w:right w:val="nil"/>
                        </w:tcBorders>
                        <w:noWrap/>
                        <w:vAlign w:val="center"/>
                        <w:hideMark/>
                      </w:tcPr>
                      <w:p w14:paraId="167C1822" w14:textId="77777777" w:rsidR="00F163F9" w:rsidRPr="00F163F9" w:rsidRDefault="00F163F9" w:rsidP="00F163F9">
                        <w:pPr>
                          <w:jc w:val="center"/>
                          <w:rPr>
                            <w:rFonts w:ascii="Calibri" w:eastAsia="Times New Roman" w:hAnsi="Calibri" w:cs="Calibri"/>
                            <w:color w:val="000000"/>
                            <w:kern w:val="0"/>
                            <w:sz w:val="20"/>
                            <w:szCs w:val="20"/>
                            <w14:ligatures w14:val="none"/>
                          </w:rPr>
                        </w:pPr>
                      </w:p>
                    </w:tc>
                    <w:tc>
                      <w:tcPr>
                        <w:tcW w:w="1659" w:type="dxa"/>
                        <w:tcBorders>
                          <w:top w:val="nil"/>
                          <w:left w:val="nil"/>
                          <w:bottom w:val="nil"/>
                          <w:right w:val="nil"/>
                        </w:tcBorders>
                        <w:noWrap/>
                        <w:vAlign w:val="center"/>
                        <w:hideMark/>
                      </w:tcPr>
                      <w:p w14:paraId="31B68973"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$10.77</w:t>
                        </w:r>
                      </w:p>
                    </w:tc>
                  </w:tr>
                  <w:tr w:rsidR="00F163F9" w:rsidRPr="00F163F9" w14:paraId="3C43BD4B" w14:textId="77777777" w:rsidTr="00F163F9">
                    <w:trPr>
                      <w:trHeight w:val="315"/>
                    </w:trPr>
                    <w:tc>
                      <w:tcPr>
                        <w:tcW w:w="2538" w:type="dxa"/>
                        <w:tcBorders>
                          <w:top w:val="nil"/>
                          <w:left w:val="nil"/>
                          <w:bottom w:val="single" w:sz="8" w:space="0" w:color="auto"/>
                          <w:right w:val="nil"/>
                        </w:tcBorders>
                        <w:noWrap/>
                        <w:vAlign w:val="center"/>
                        <w:hideMark/>
                      </w:tcPr>
                      <w:p w14:paraId="6B429820" w14:textId="77777777" w:rsidR="00F163F9" w:rsidRPr="00F163F9" w:rsidRDefault="00F163F9" w:rsidP="00F163F9">
                        <w:pP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Gasoline, Other States</w:t>
                        </w:r>
                      </w:p>
                    </w:tc>
                    <w:tc>
                      <w:tcPr>
                        <w:tcW w:w="1081" w:type="dxa"/>
                        <w:tcBorders>
                          <w:top w:val="nil"/>
                          <w:left w:val="nil"/>
                          <w:bottom w:val="single" w:sz="8" w:space="0" w:color="auto"/>
                          <w:right w:val="nil"/>
                        </w:tcBorders>
                        <w:noWrap/>
                        <w:vAlign w:val="center"/>
                        <w:hideMark/>
                      </w:tcPr>
                      <w:p w14:paraId="74D2EDF2"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 </w:t>
                        </w:r>
                      </w:p>
                    </w:tc>
                    <w:tc>
                      <w:tcPr>
                        <w:tcW w:w="687" w:type="dxa"/>
                        <w:tcBorders>
                          <w:top w:val="nil"/>
                          <w:left w:val="nil"/>
                          <w:bottom w:val="single" w:sz="8" w:space="0" w:color="auto"/>
                          <w:right w:val="nil"/>
                        </w:tcBorders>
                        <w:noWrap/>
                        <w:vAlign w:val="center"/>
                        <w:hideMark/>
                      </w:tcPr>
                      <w:p w14:paraId="5AFF5386"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$2.941</w:t>
                        </w:r>
                      </w:p>
                    </w:tc>
                    <w:tc>
                      <w:tcPr>
                        <w:tcW w:w="1659" w:type="dxa"/>
                        <w:tcBorders>
                          <w:top w:val="nil"/>
                          <w:left w:val="nil"/>
                          <w:bottom w:val="single" w:sz="8" w:space="0" w:color="auto"/>
                          <w:right w:val="nil"/>
                        </w:tcBorders>
                        <w:noWrap/>
                        <w:vAlign w:val="center"/>
                        <w:hideMark/>
                      </w:tcPr>
                      <w:p w14:paraId="10342A34" w14:textId="77777777" w:rsidR="00F163F9" w:rsidRPr="00F163F9" w:rsidRDefault="00F163F9" w:rsidP="00F163F9">
                        <w:pPr>
                          <w:jc w:val="center"/>
                          <w:rPr>
                            <w:rFonts w:ascii="Calibri" w:eastAsia="Times New Roman" w:hAnsi="Calibri" w:cs="Calibri"/>
                            <w:color w:val="000000"/>
                            <w:kern w:val="0"/>
                            <w:sz w:val="20"/>
                            <w:szCs w:val="20"/>
                            <w14:ligatures w14:val="none"/>
                          </w:rPr>
                        </w:pPr>
                        <w:r w:rsidRPr="00F163F9">
                          <w:rPr>
                            <w:rFonts w:ascii="Calibri" w:eastAsia="Times New Roman" w:hAnsi="Calibri" w:cs="Calibri"/>
                            <w:color w:val="000000"/>
                            <w:kern w:val="0"/>
                            <w:sz w:val="20"/>
                            <w:szCs w:val="20"/>
                            <w14:ligatures w14:val="none"/>
                          </w:rPr>
                          <w:t>$10.14</w:t>
                        </w:r>
                      </w:p>
                    </w:tc>
                  </w:tr>
                </w:tbl>
                <w:p w14:paraId="1054F8DA" w14:textId="77777777" w:rsidR="008F2FAF" w:rsidRDefault="008F2FAF" w:rsidP="008F2FAF">
                  <w:pPr>
                    <w:rPr>
                      <w:rFonts w:ascii="Calibri" w:eastAsia="Times New Roman" w:hAnsi="Calibri" w:cs="Calibri"/>
                      <w:color w:val="000000"/>
                      <w:kern w:val="0"/>
                      <w14:ligatures w14:val="none"/>
                    </w:rPr>
                  </w:pPr>
                </w:p>
                <w:p w14:paraId="0B65E79B" w14:textId="36A367B9" w:rsidR="008F2FAF" w:rsidRDefault="008F2FAF" w:rsidP="008F2FAF">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effect on the state’s goals for expanding electric vehicle market share is shown in table using </w:t>
                  </w:r>
                  <w:hyperlink r:id="rId23" w:history="1">
                    <w:r w:rsidRPr="008F2FAF">
                      <w:rPr>
                        <w:rStyle w:val="Hyperlink"/>
                        <w:rFonts w:ascii="Calibri" w:eastAsia="Times New Roman" w:hAnsi="Calibri" w:cs="Calibri"/>
                        <w:kern w:val="0"/>
                        <w14:ligatures w14:val="none"/>
                      </w:rPr>
                      <w:t>mileage information</w:t>
                    </w:r>
                  </w:hyperlink>
                  <w:r>
                    <w:rPr>
                      <w:rFonts w:ascii="Calibri" w:eastAsia="Times New Roman" w:hAnsi="Calibri" w:cs="Calibri"/>
                      <w:color w:val="000000"/>
                      <w:kern w:val="0"/>
                      <w14:ligatures w14:val="none"/>
                    </w:rPr>
                    <w:t xml:space="preserve"> from the US Department of Energy</w:t>
                  </w:r>
                  <w:r w:rsidR="0091153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the highest selling </w:t>
                  </w:r>
                  <w:r w:rsidR="00D216F4">
                    <w:rPr>
                      <w:rFonts w:ascii="Calibri" w:eastAsia="Times New Roman" w:hAnsi="Calibri" w:cs="Calibri"/>
                      <w:color w:val="000000"/>
                      <w:kern w:val="0"/>
                      <w14:ligatures w14:val="none"/>
                    </w:rPr>
                    <w:t>electric (Tesla Model Y) and gasoline (Toyota RAV4, which comes in both gasoline and hybrid configurations) models in the 3</w:t>
                  </w:r>
                  <w:r w:rsidR="00D216F4" w:rsidRPr="00D216F4">
                    <w:rPr>
                      <w:rFonts w:ascii="Calibri" w:eastAsia="Times New Roman" w:hAnsi="Calibri" w:cs="Calibri"/>
                      <w:color w:val="000000"/>
                      <w:kern w:val="0"/>
                      <w:vertAlign w:val="superscript"/>
                      <w14:ligatures w14:val="none"/>
                    </w:rPr>
                    <w:t>rd</w:t>
                  </w:r>
                  <w:r w:rsidR="00D216F4">
                    <w:rPr>
                      <w:rFonts w:ascii="Calibri" w:eastAsia="Times New Roman" w:hAnsi="Calibri" w:cs="Calibri"/>
                      <w:color w:val="000000"/>
                      <w:kern w:val="0"/>
                      <w14:ligatures w14:val="none"/>
                    </w:rPr>
                    <w:t xml:space="preserve"> quarter</w:t>
                  </w:r>
                  <w:r w:rsidR="00911536">
                    <w:rPr>
                      <w:rFonts w:ascii="Calibri" w:eastAsia="Times New Roman" w:hAnsi="Calibri" w:cs="Calibri"/>
                      <w:color w:val="000000"/>
                      <w:kern w:val="0"/>
                      <w14:ligatures w14:val="none"/>
                    </w:rPr>
                    <w:t>, and the average gasoline prices in October</w:t>
                  </w:r>
                  <w:r w:rsidR="00D216F4">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w:t>
                  </w:r>
                  <w:r w:rsidR="00F163F9">
                    <w:rPr>
                      <w:rFonts w:ascii="Calibri" w:eastAsia="Times New Roman" w:hAnsi="Calibri" w:cs="Calibri"/>
                      <w:color w:val="000000"/>
                      <w:kern w:val="0"/>
                      <w14:ligatures w14:val="none"/>
                    </w:rPr>
                    <w:t xml:space="preserve">  Electric vehicles show an operating cost advantage </w:t>
                  </w:r>
                  <w:r w:rsidR="006549BA">
                    <w:rPr>
                      <w:rFonts w:ascii="Calibri" w:eastAsia="Times New Roman" w:hAnsi="Calibri" w:cs="Calibri"/>
                      <w:color w:val="000000"/>
                      <w:kern w:val="0"/>
                      <w14:ligatures w14:val="none"/>
                    </w:rPr>
                    <w:t>only because of</w:t>
                  </w:r>
                  <w:r w:rsidR="00F163F9">
                    <w:rPr>
                      <w:rFonts w:ascii="Calibri" w:eastAsia="Times New Roman" w:hAnsi="Calibri" w:cs="Calibri"/>
                      <w:color w:val="000000"/>
                      <w:kern w:val="0"/>
                      <w14:ligatures w14:val="none"/>
                    </w:rPr>
                    <w:t xml:space="preserve"> state policies that keep gasoline prices elevated well above the other states.  This advantage disappears when prices prevailing in the rest of the country are taken into account</w:t>
                  </w:r>
                  <w:r w:rsidR="006549BA">
                    <w:rPr>
                      <w:rFonts w:ascii="Calibri" w:eastAsia="Times New Roman" w:hAnsi="Calibri" w:cs="Calibri"/>
                      <w:color w:val="000000"/>
                      <w:kern w:val="0"/>
                      <w14:ligatures w14:val="none"/>
                    </w:rPr>
                    <w:t>.</w:t>
                  </w:r>
                </w:p>
                <w:p w14:paraId="56794223" w14:textId="77777777" w:rsidR="00F163F9" w:rsidRDefault="00F163F9" w:rsidP="008F2FAF">
                  <w:pPr>
                    <w:rPr>
                      <w:rFonts w:ascii="Calibri" w:eastAsia="Times New Roman" w:hAnsi="Calibri" w:cs="Calibri"/>
                      <w:color w:val="000000"/>
                      <w:kern w:val="0"/>
                      <w14:ligatures w14:val="none"/>
                    </w:rPr>
                  </w:pPr>
                </w:p>
                <w:p w14:paraId="5582F6B7" w14:textId="6BB5EB5A" w:rsidR="00911536" w:rsidRDefault="00F163F9" w:rsidP="008F2FAF">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Note that the table addresses only one cost component for comparing these vehicle classes.  A number of other factors can </w:t>
                  </w:r>
                  <w:r w:rsidR="006549BA">
                    <w:rPr>
                      <w:rFonts w:ascii="Calibri" w:eastAsia="Times New Roman" w:hAnsi="Calibri" w:cs="Calibri"/>
                      <w:color w:val="000000"/>
                      <w:kern w:val="0"/>
                      <w14:ligatures w14:val="none"/>
                    </w:rPr>
                    <w:t>a</w:t>
                  </w:r>
                  <w:r>
                    <w:rPr>
                      <w:rFonts w:ascii="Calibri" w:eastAsia="Times New Roman" w:hAnsi="Calibri" w:cs="Calibri"/>
                      <w:color w:val="000000"/>
                      <w:kern w:val="0"/>
                      <w14:ligatures w14:val="none"/>
                    </w:rPr>
                    <w:t>ffect the results including:  (1) a number of studies demonstrate the official mileage numbers for electric vehicles are inflated by about 1</w:t>
                  </w:r>
                  <w:r w:rsidR="006549BA">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 (2) other cost differences exist for these two classes including maintenance and repair, insurance, purchase prices</w:t>
                  </w:r>
                  <w:r w:rsidR="006549BA">
                    <w:rPr>
                      <w:rFonts w:ascii="Calibri" w:eastAsia="Times New Roman" w:hAnsi="Calibri" w:cs="Calibri"/>
                      <w:color w:val="000000"/>
                      <w:kern w:val="0"/>
                      <w14:ligatures w14:val="none"/>
                    </w:rPr>
                    <w:t>, and resale value</w:t>
                  </w:r>
                  <w:r>
                    <w:rPr>
                      <w:rFonts w:ascii="Calibri" w:eastAsia="Times New Roman" w:hAnsi="Calibri" w:cs="Calibri"/>
                      <w:color w:val="000000"/>
                      <w:kern w:val="0"/>
                      <w14:ligatures w14:val="none"/>
                    </w:rPr>
                    <w:t>; and (3) operating costs will be lower for home charging, although expansion of electric market share has been hindered by renters in particular having to rely on public charging.</w:t>
                  </w:r>
                </w:p>
                <w:p w14:paraId="4B3538E5" w14:textId="7D65DEC3" w:rsidR="00911536" w:rsidRPr="00855036" w:rsidRDefault="00911536" w:rsidP="008F2FAF">
                  <w:pPr>
                    <w:rPr>
                      <w:rFonts w:ascii="Calibri" w:eastAsia="Times New Roman" w:hAnsi="Calibri" w:cs="Calibri"/>
                      <w:color w:val="000000"/>
                      <w:kern w:val="0"/>
                      <w14:ligatures w14:val="none"/>
                    </w:rPr>
                  </w:pPr>
                </w:p>
              </w:tc>
            </w:tr>
            <w:tr w:rsidR="008F2FAF" w:rsidRPr="00855036" w14:paraId="1EBF6F2F" w14:textId="77777777" w:rsidTr="003F646C">
              <w:trPr>
                <w:trHeight w:val="600"/>
              </w:trPr>
              <w:tc>
                <w:tcPr>
                  <w:tcW w:w="1052" w:type="pct"/>
                  <w:tcBorders>
                    <w:top w:val="nil"/>
                    <w:left w:val="nil"/>
                    <w:bottom w:val="nil"/>
                    <w:right w:val="nil"/>
                  </w:tcBorders>
                  <w:vAlign w:val="bottom"/>
                  <w:hideMark/>
                </w:tcPr>
                <w:p w14:paraId="192CAD2B" w14:textId="0EE295A8" w:rsidR="008F2FAF" w:rsidRPr="00855036" w:rsidRDefault="008F2FAF" w:rsidP="008F2FAF">
                  <w:pPr>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Public Charging Rank Among Contiguous States</w:t>
                  </w:r>
                </w:p>
              </w:tc>
              <w:tc>
                <w:tcPr>
                  <w:tcW w:w="3948" w:type="pct"/>
                  <w:gridSpan w:val="2"/>
                  <w:vMerge/>
                  <w:tcBorders>
                    <w:top w:val="nil"/>
                    <w:left w:val="nil"/>
                    <w:bottom w:val="nil"/>
                    <w:right w:val="nil"/>
                  </w:tcBorders>
                  <w:vAlign w:val="center"/>
                  <w:hideMark/>
                </w:tcPr>
                <w:p w14:paraId="61FC1506" w14:textId="77777777" w:rsidR="008F2FAF" w:rsidRPr="00855036" w:rsidRDefault="008F2FAF" w:rsidP="008F2FAF">
                  <w:pPr>
                    <w:rPr>
                      <w:rFonts w:ascii="Calibri" w:eastAsia="Times New Roman" w:hAnsi="Calibri" w:cs="Calibri"/>
                      <w:color w:val="000000"/>
                      <w:kern w:val="0"/>
                      <w14:ligatures w14:val="none"/>
                    </w:rPr>
                  </w:pPr>
                </w:p>
              </w:tc>
            </w:tr>
            <w:tr w:rsidR="008F2FAF" w:rsidRPr="00855036" w14:paraId="162C3F06" w14:textId="77777777" w:rsidTr="003F646C">
              <w:trPr>
                <w:gridAfter w:val="1"/>
                <w:wAfter w:w="2539" w:type="dxa"/>
                <w:trHeight w:val="300"/>
              </w:trPr>
              <w:tc>
                <w:tcPr>
                  <w:tcW w:w="1052" w:type="pct"/>
                  <w:tcBorders>
                    <w:top w:val="nil"/>
                    <w:left w:val="nil"/>
                    <w:bottom w:val="nil"/>
                    <w:right w:val="nil"/>
                  </w:tcBorders>
                  <w:vAlign w:val="bottom"/>
                  <w:hideMark/>
                </w:tcPr>
                <w:p w14:paraId="3119160C" w14:textId="77777777" w:rsidR="008F2FAF" w:rsidRPr="00855036" w:rsidRDefault="008F2FAF" w:rsidP="008F2FAF">
                  <w:pPr>
                    <w:jc w:val="center"/>
                    <w:rPr>
                      <w:rFonts w:ascii="Calibri" w:eastAsia="Times New Roman" w:hAnsi="Calibri" w:cs="Calibri"/>
                      <w:color w:val="000000"/>
                      <w:kern w:val="0"/>
                      <w14:ligatures w14:val="none"/>
                    </w:rPr>
                  </w:pPr>
                </w:p>
              </w:tc>
              <w:tc>
                <w:tcPr>
                  <w:tcW w:w="2582" w:type="pct"/>
                  <w:tcBorders>
                    <w:top w:val="nil"/>
                    <w:left w:val="nil"/>
                    <w:bottom w:val="nil"/>
                    <w:right w:val="nil"/>
                  </w:tcBorders>
                  <w:vAlign w:val="bottom"/>
                  <w:hideMark/>
                </w:tcPr>
                <w:p w14:paraId="2A6F9823" w14:textId="77777777" w:rsidR="008F2FAF" w:rsidRPr="00855036" w:rsidRDefault="008F2FAF" w:rsidP="008F2FAF">
                  <w:pPr>
                    <w:rPr>
                      <w:rFonts w:ascii="Times New Roman" w:eastAsia="Times New Roman" w:hAnsi="Times New Roman" w:cs="Times New Roman"/>
                      <w:kern w:val="0"/>
                      <w:sz w:val="20"/>
                      <w:szCs w:val="20"/>
                      <w14:ligatures w14:val="none"/>
                    </w:rPr>
                  </w:pPr>
                </w:p>
              </w:tc>
            </w:tr>
          </w:tbl>
          <w:p w14:paraId="06E4BD4F" w14:textId="77777777" w:rsidR="008F2FAF" w:rsidRPr="008F2FAF" w:rsidRDefault="008F2FAF" w:rsidP="00855036">
            <w:pPr>
              <w:rPr>
                <w:rFonts w:ascii="Georgia" w:eastAsia="Times New Roman" w:hAnsi="Georgia" w:cs="Calibri"/>
                <w:color w:val="000000"/>
                <w:kern w:val="0"/>
                <w14:ligatures w14:val="none"/>
              </w:rPr>
            </w:pPr>
          </w:p>
          <w:p w14:paraId="53AFEC7F" w14:textId="792C7E19" w:rsidR="00855036" w:rsidRPr="00855036" w:rsidRDefault="00855036" w:rsidP="00855036">
            <w:pPr>
              <w:rPr>
                <w:rFonts w:ascii="Georgia" w:eastAsia="Times New Roman" w:hAnsi="Georgia" w:cs="Calibri"/>
                <w:b/>
                <w:bCs/>
                <w:color w:val="000000"/>
                <w:kern w:val="0"/>
                <w:sz w:val="36"/>
                <w:szCs w:val="36"/>
                <w14:ligatures w14:val="none"/>
              </w:rPr>
            </w:pPr>
            <w:r w:rsidRPr="00855036">
              <w:rPr>
                <w:rFonts w:ascii="Georgia" w:eastAsia="Times New Roman" w:hAnsi="Georgia" w:cs="Calibri"/>
                <w:b/>
                <w:bCs/>
                <w:color w:val="000000"/>
                <w:kern w:val="0"/>
                <w:sz w:val="36"/>
                <w:szCs w:val="36"/>
                <w14:ligatures w14:val="none"/>
              </w:rPr>
              <w:t>California Natural Gas Prices</w:t>
            </w:r>
          </w:p>
        </w:tc>
      </w:tr>
      <w:tr w:rsidR="00855036" w:rsidRPr="00855036" w14:paraId="4F46D913" w14:textId="77777777" w:rsidTr="00331E72">
        <w:trPr>
          <w:trHeight w:val="300"/>
        </w:trPr>
        <w:tc>
          <w:tcPr>
            <w:tcW w:w="1155" w:type="pct"/>
            <w:gridSpan w:val="3"/>
            <w:tcBorders>
              <w:top w:val="nil"/>
              <w:left w:val="nil"/>
              <w:bottom w:val="nil"/>
              <w:right w:val="nil"/>
            </w:tcBorders>
            <w:vAlign w:val="bottom"/>
            <w:hideMark/>
          </w:tcPr>
          <w:p w14:paraId="5B94D0F9" w14:textId="77777777" w:rsidR="00855036" w:rsidRPr="00855036" w:rsidRDefault="00855036" w:rsidP="00855036">
            <w:pPr>
              <w:rPr>
                <w:rFonts w:ascii="Georgia" w:eastAsia="Times New Roman" w:hAnsi="Georgia" w:cs="Calibri"/>
                <w:b/>
                <w:bCs/>
                <w:color w:val="000000"/>
                <w:kern w:val="0"/>
                <w:sz w:val="36"/>
                <w:szCs w:val="36"/>
                <w14:ligatures w14:val="none"/>
              </w:rPr>
            </w:pPr>
          </w:p>
        </w:tc>
        <w:tc>
          <w:tcPr>
            <w:tcW w:w="2428" w:type="pct"/>
            <w:gridSpan w:val="3"/>
            <w:tcBorders>
              <w:top w:val="nil"/>
              <w:left w:val="nil"/>
              <w:bottom w:val="nil"/>
              <w:right w:val="nil"/>
            </w:tcBorders>
            <w:vAlign w:val="bottom"/>
            <w:hideMark/>
          </w:tcPr>
          <w:p w14:paraId="7721CFB9"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672AE24B"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73383B46"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A51BC59" w14:textId="77777777" w:rsidTr="00E01FE2">
        <w:trPr>
          <w:trHeight w:val="810"/>
        </w:trPr>
        <w:tc>
          <w:tcPr>
            <w:tcW w:w="5000" w:type="pct"/>
            <w:gridSpan w:val="8"/>
            <w:tcBorders>
              <w:top w:val="nil"/>
              <w:left w:val="nil"/>
              <w:bottom w:val="nil"/>
              <w:right w:val="nil"/>
            </w:tcBorders>
            <w:vAlign w:val="center"/>
            <w:hideMark/>
          </w:tcPr>
          <w:p w14:paraId="6C02966D"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Average prices ($ per thousand cubic feet; 12-month moving average) for the 12 months ended August 2025 and changes from the previous 12-month period for each end user:</w:t>
            </w:r>
          </w:p>
        </w:tc>
      </w:tr>
      <w:tr w:rsidR="00855036" w:rsidRPr="00855036" w14:paraId="59C44A98" w14:textId="77777777" w:rsidTr="00331E72">
        <w:trPr>
          <w:trHeight w:val="300"/>
        </w:trPr>
        <w:tc>
          <w:tcPr>
            <w:tcW w:w="1155" w:type="pct"/>
            <w:gridSpan w:val="3"/>
            <w:tcBorders>
              <w:top w:val="nil"/>
              <w:left w:val="nil"/>
              <w:bottom w:val="nil"/>
              <w:right w:val="nil"/>
            </w:tcBorders>
            <w:vAlign w:val="bottom"/>
            <w:hideMark/>
          </w:tcPr>
          <w:p w14:paraId="6CB379C5" w14:textId="77777777" w:rsidR="00855036" w:rsidRPr="00855036" w:rsidRDefault="00855036" w:rsidP="00855036">
            <w:pPr>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3C5379CC"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noWrap/>
            <w:vAlign w:val="bottom"/>
            <w:hideMark/>
          </w:tcPr>
          <w:p w14:paraId="69744B11"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2D70C1B7" w14:textId="77777777" w:rsidR="00855036" w:rsidRPr="00855036" w:rsidRDefault="00855036" w:rsidP="00855036">
            <w:pPr>
              <w:rPr>
                <w:rFonts w:ascii="Times New Roman" w:eastAsia="Times New Roman" w:hAnsi="Times New Roman" w:cs="Times New Roman"/>
                <w:kern w:val="0"/>
                <w:sz w:val="20"/>
                <w:szCs w:val="20"/>
                <w14:ligatures w14:val="none"/>
              </w:rPr>
            </w:pPr>
          </w:p>
        </w:tc>
      </w:tr>
      <w:tr w:rsidR="00855036" w:rsidRPr="00855036" w14:paraId="3105E0DF" w14:textId="77777777" w:rsidTr="00331E72">
        <w:trPr>
          <w:trHeight w:val="300"/>
        </w:trPr>
        <w:tc>
          <w:tcPr>
            <w:tcW w:w="1155" w:type="pct"/>
            <w:gridSpan w:val="3"/>
            <w:tcBorders>
              <w:top w:val="nil"/>
              <w:left w:val="nil"/>
              <w:bottom w:val="nil"/>
              <w:right w:val="nil"/>
            </w:tcBorders>
            <w:vAlign w:val="bottom"/>
            <w:hideMark/>
          </w:tcPr>
          <w:p w14:paraId="5A6E7D23"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2428" w:type="pct"/>
            <w:gridSpan w:val="3"/>
            <w:tcBorders>
              <w:top w:val="nil"/>
              <w:left w:val="nil"/>
              <w:bottom w:val="nil"/>
              <w:right w:val="nil"/>
            </w:tcBorders>
            <w:vAlign w:val="bottom"/>
            <w:hideMark/>
          </w:tcPr>
          <w:p w14:paraId="5BC39256" w14:textId="77777777" w:rsidR="00855036" w:rsidRPr="00855036" w:rsidRDefault="00855036" w:rsidP="00855036">
            <w:pPr>
              <w:jc w:val="right"/>
              <w:rPr>
                <w:rFonts w:ascii="Calibri" w:eastAsia="Times New Roman" w:hAnsi="Calibri" w:cs="Calibri"/>
                <w:b/>
                <w:bCs/>
                <w:i/>
                <w:iCs/>
                <w:color w:val="000000"/>
                <w:kern w:val="0"/>
                <w:sz w:val="20"/>
                <w:szCs w:val="20"/>
                <w14:ligatures w14:val="none"/>
              </w:rPr>
            </w:pPr>
            <w:r w:rsidRPr="00855036">
              <w:rPr>
                <w:rFonts w:ascii="Calibri" w:eastAsia="Times New Roman" w:hAnsi="Calibri" w:cs="Calibri"/>
                <w:b/>
                <w:bCs/>
                <w:i/>
                <w:iCs/>
                <w:color w:val="000000"/>
                <w:kern w:val="0"/>
                <w:sz w:val="20"/>
                <w:szCs w:val="20"/>
                <w14:ligatures w14:val="none"/>
              </w:rPr>
              <w:t>Residential</w:t>
            </w:r>
          </w:p>
        </w:tc>
        <w:tc>
          <w:tcPr>
            <w:tcW w:w="724" w:type="pct"/>
            <w:tcBorders>
              <w:top w:val="nil"/>
              <w:left w:val="nil"/>
              <w:bottom w:val="nil"/>
              <w:right w:val="nil"/>
            </w:tcBorders>
            <w:vAlign w:val="bottom"/>
            <w:hideMark/>
          </w:tcPr>
          <w:p w14:paraId="78D1D949" w14:textId="77777777" w:rsidR="00855036" w:rsidRPr="00855036" w:rsidRDefault="00855036" w:rsidP="00855036">
            <w:pPr>
              <w:rPr>
                <w:rFonts w:ascii="Calibri" w:eastAsia="Times New Roman" w:hAnsi="Calibri" w:cs="Calibri"/>
                <w:b/>
                <w:bCs/>
                <w:i/>
                <w:iCs/>
                <w:color w:val="000000"/>
                <w:kern w:val="0"/>
                <w:sz w:val="20"/>
                <w:szCs w:val="20"/>
                <w14:ligatures w14:val="none"/>
              </w:rPr>
            </w:pPr>
            <w:r w:rsidRPr="00855036">
              <w:rPr>
                <w:rFonts w:ascii="Calibri" w:eastAsia="Times New Roman" w:hAnsi="Calibri" w:cs="Calibri"/>
                <w:b/>
                <w:bCs/>
                <w:i/>
                <w:iCs/>
                <w:color w:val="000000"/>
                <w:kern w:val="0"/>
                <w:sz w:val="20"/>
                <w:szCs w:val="20"/>
                <w14:ligatures w14:val="none"/>
              </w:rPr>
              <w:t>Commercial</w:t>
            </w:r>
          </w:p>
        </w:tc>
        <w:tc>
          <w:tcPr>
            <w:tcW w:w="693" w:type="pct"/>
            <w:tcBorders>
              <w:top w:val="nil"/>
              <w:left w:val="nil"/>
              <w:bottom w:val="nil"/>
              <w:right w:val="nil"/>
            </w:tcBorders>
            <w:noWrap/>
            <w:vAlign w:val="bottom"/>
            <w:hideMark/>
          </w:tcPr>
          <w:p w14:paraId="2589C2E0" w14:textId="77777777" w:rsidR="00855036" w:rsidRPr="00855036" w:rsidRDefault="00855036" w:rsidP="00855036">
            <w:pPr>
              <w:rPr>
                <w:rFonts w:ascii="Calibri" w:eastAsia="Times New Roman" w:hAnsi="Calibri" w:cs="Calibri"/>
                <w:b/>
                <w:bCs/>
                <w:i/>
                <w:iCs/>
                <w:color w:val="000000"/>
                <w:kern w:val="0"/>
                <w:sz w:val="20"/>
                <w:szCs w:val="20"/>
                <w14:ligatures w14:val="none"/>
              </w:rPr>
            </w:pPr>
            <w:r w:rsidRPr="00855036">
              <w:rPr>
                <w:rFonts w:ascii="Calibri" w:eastAsia="Times New Roman" w:hAnsi="Calibri" w:cs="Calibri"/>
                <w:b/>
                <w:bCs/>
                <w:i/>
                <w:iCs/>
                <w:color w:val="000000"/>
                <w:kern w:val="0"/>
                <w:sz w:val="20"/>
                <w:szCs w:val="20"/>
                <w14:ligatures w14:val="none"/>
              </w:rPr>
              <w:t>Industrial</w:t>
            </w:r>
          </w:p>
        </w:tc>
      </w:tr>
      <w:tr w:rsidR="00855036" w:rsidRPr="00855036" w14:paraId="6F5C6459" w14:textId="77777777" w:rsidTr="00331E72">
        <w:trPr>
          <w:trHeight w:val="300"/>
        </w:trPr>
        <w:tc>
          <w:tcPr>
            <w:tcW w:w="1155" w:type="pct"/>
            <w:gridSpan w:val="3"/>
            <w:tcBorders>
              <w:top w:val="nil"/>
              <w:left w:val="nil"/>
              <w:bottom w:val="nil"/>
              <w:right w:val="nil"/>
            </w:tcBorders>
            <w:vAlign w:val="bottom"/>
            <w:hideMark/>
          </w:tcPr>
          <w:p w14:paraId="4990882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 August 2025</w:t>
            </w:r>
          </w:p>
        </w:tc>
        <w:tc>
          <w:tcPr>
            <w:tcW w:w="2428" w:type="pct"/>
            <w:gridSpan w:val="3"/>
            <w:tcBorders>
              <w:top w:val="nil"/>
              <w:left w:val="nil"/>
              <w:bottom w:val="nil"/>
              <w:right w:val="nil"/>
            </w:tcBorders>
            <w:vAlign w:val="bottom"/>
            <w:hideMark/>
          </w:tcPr>
          <w:p w14:paraId="48C42266"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$21.07</w:t>
            </w:r>
          </w:p>
        </w:tc>
        <w:tc>
          <w:tcPr>
            <w:tcW w:w="724" w:type="pct"/>
            <w:tcBorders>
              <w:top w:val="nil"/>
              <w:left w:val="nil"/>
              <w:bottom w:val="nil"/>
              <w:right w:val="nil"/>
            </w:tcBorders>
            <w:vAlign w:val="bottom"/>
            <w:hideMark/>
          </w:tcPr>
          <w:p w14:paraId="276881EA"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$15.49</w:t>
            </w:r>
          </w:p>
        </w:tc>
        <w:tc>
          <w:tcPr>
            <w:tcW w:w="693" w:type="pct"/>
            <w:tcBorders>
              <w:top w:val="nil"/>
              <w:left w:val="nil"/>
              <w:bottom w:val="nil"/>
              <w:right w:val="nil"/>
            </w:tcBorders>
            <w:vAlign w:val="bottom"/>
            <w:hideMark/>
          </w:tcPr>
          <w:p w14:paraId="6F4CC632"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$12.32</w:t>
            </w:r>
          </w:p>
        </w:tc>
      </w:tr>
      <w:tr w:rsidR="00855036" w:rsidRPr="00855036" w14:paraId="1BF3A93F" w14:textId="77777777" w:rsidTr="00331E72">
        <w:trPr>
          <w:trHeight w:val="300"/>
        </w:trPr>
        <w:tc>
          <w:tcPr>
            <w:tcW w:w="1155" w:type="pct"/>
            <w:gridSpan w:val="3"/>
            <w:tcBorders>
              <w:top w:val="nil"/>
              <w:left w:val="nil"/>
              <w:bottom w:val="nil"/>
              <w:right w:val="nil"/>
            </w:tcBorders>
            <w:vAlign w:val="bottom"/>
            <w:hideMark/>
          </w:tcPr>
          <w:p w14:paraId="468291A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 August 2024</w:t>
            </w:r>
          </w:p>
        </w:tc>
        <w:tc>
          <w:tcPr>
            <w:tcW w:w="2428" w:type="pct"/>
            <w:gridSpan w:val="3"/>
            <w:tcBorders>
              <w:top w:val="nil"/>
              <w:left w:val="nil"/>
              <w:bottom w:val="nil"/>
              <w:right w:val="nil"/>
            </w:tcBorders>
            <w:vAlign w:val="bottom"/>
            <w:hideMark/>
          </w:tcPr>
          <w:p w14:paraId="1A1AC675"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$19.52</w:t>
            </w:r>
          </w:p>
        </w:tc>
        <w:tc>
          <w:tcPr>
            <w:tcW w:w="724" w:type="pct"/>
            <w:tcBorders>
              <w:top w:val="nil"/>
              <w:left w:val="nil"/>
              <w:bottom w:val="nil"/>
              <w:right w:val="nil"/>
            </w:tcBorders>
            <w:vAlign w:val="bottom"/>
            <w:hideMark/>
          </w:tcPr>
          <w:p w14:paraId="103C239D"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$14.12</w:t>
            </w:r>
          </w:p>
        </w:tc>
        <w:tc>
          <w:tcPr>
            <w:tcW w:w="693" w:type="pct"/>
            <w:tcBorders>
              <w:top w:val="nil"/>
              <w:left w:val="nil"/>
              <w:bottom w:val="nil"/>
              <w:right w:val="nil"/>
            </w:tcBorders>
            <w:vAlign w:val="bottom"/>
            <w:hideMark/>
          </w:tcPr>
          <w:p w14:paraId="6E2EFED8"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$11.58</w:t>
            </w:r>
          </w:p>
        </w:tc>
      </w:tr>
      <w:tr w:rsidR="00855036" w:rsidRPr="00855036" w14:paraId="60AC7D50" w14:textId="77777777" w:rsidTr="00331E72">
        <w:trPr>
          <w:trHeight w:val="300"/>
        </w:trPr>
        <w:tc>
          <w:tcPr>
            <w:tcW w:w="1155" w:type="pct"/>
            <w:gridSpan w:val="3"/>
            <w:tcBorders>
              <w:top w:val="nil"/>
              <w:left w:val="nil"/>
              <w:bottom w:val="nil"/>
              <w:right w:val="nil"/>
            </w:tcBorders>
            <w:vAlign w:val="bottom"/>
            <w:hideMark/>
          </w:tcPr>
          <w:p w14:paraId="6DB08444"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 xml:space="preserve">   Change</w:t>
            </w:r>
          </w:p>
        </w:tc>
        <w:tc>
          <w:tcPr>
            <w:tcW w:w="2428" w:type="pct"/>
            <w:gridSpan w:val="3"/>
            <w:tcBorders>
              <w:top w:val="nil"/>
              <w:left w:val="nil"/>
              <w:bottom w:val="nil"/>
              <w:right w:val="nil"/>
            </w:tcBorders>
            <w:vAlign w:val="bottom"/>
            <w:hideMark/>
          </w:tcPr>
          <w:p w14:paraId="27CF0F41"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7.9%</w:t>
            </w:r>
          </w:p>
        </w:tc>
        <w:tc>
          <w:tcPr>
            <w:tcW w:w="724" w:type="pct"/>
            <w:tcBorders>
              <w:top w:val="nil"/>
              <w:left w:val="nil"/>
              <w:bottom w:val="nil"/>
              <w:right w:val="nil"/>
            </w:tcBorders>
            <w:vAlign w:val="bottom"/>
            <w:hideMark/>
          </w:tcPr>
          <w:p w14:paraId="4D88EF7A"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9.7%</w:t>
            </w:r>
          </w:p>
        </w:tc>
        <w:tc>
          <w:tcPr>
            <w:tcW w:w="693" w:type="pct"/>
            <w:tcBorders>
              <w:top w:val="nil"/>
              <w:left w:val="nil"/>
              <w:bottom w:val="nil"/>
              <w:right w:val="nil"/>
            </w:tcBorders>
            <w:vAlign w:val="bottom"/>
            <w:hideMark/>
          </w:tcPr>
          <w:p w14:paraId="1958045F"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6.4%</w:t>
            </w:r>
          </w:p>
        </w:tc>
      </w:tr>
      <w:tr w:rsidR="00855036" w:rsidRPr="00855036" w14:paraId="405CA89B" w14:textId="77777777" w:rsidTr="00331E72">
        <w:trPr>
          <w:trHeight w:val="465"/>
        </w:trPr>
        <w:tc>
          <w:tcPr>
            <w:tcW w:w="1155" w:type="pct"/>
            <w:gridSpan w:val="3"/>
            <w:tcBorders>
              <w:top w:val="nil"/>
              <w:left w:val="nil"/>
              <w:bottom w:val="nil"/>
              <w:right w:val="nil"/>
            </w:tcBorders>
            <w:vAlign w:val="bottom"/>
            <w:hideMark/>
          </w:tcPr>
          <w:p w14:paraId="545046DE" w14:textId="77777777" w:rsidR="00855036" w:rsidRPr="00855036" w:rsidRDefault="00855036" w:rsidP="00855036">
            <w:pPr>
              <w:jc w:val="right"/>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26BBA690"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07F1BC15" w14:textId="77777777" w:rsidR="00855036" w:rsidRPr="00855036" w:rsidRDefault="00855036" w:rsidP="00855036">
            <w:pPr>
              <w:jc w:val="right"/>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FC915F8" w14:textId="77777777" w:rsidR="00855036" w:rsidRPr="00855036" w:rsidRDefault="00855036" w:rsidP="00855036">
            <w:pPr>
              <w:jc w:val="right"/>
              <w:rPr>
                <w:rFonts w:ascii="Times New Roman" w:eastAsia="Times New Roman" w:hAnsi="Times New Roman" w:cs="Times New Roman"/>
                <w:kern w:val="0"/>
                <w:sz w:val="20"/>
                <w:szCs w:val="20"/>
                <w14:ligatures w14:val="none"/>
              </w:rPr>
            </w:pPr>
          </w:p>
        </w:tc>
      </w:tr>
      <w:tr w:rsidR="00855036" w:rsidRPr="00855036" w14:paraId="2144F8AF" w14:textId="77777777" w:rsidTr="00331E72">
        <w:trPr>
          <w:trHeight w:val="300"/>
        </w:trPr>
        <w:tc>
          <w:tcPr>
            <w:tcW w:w="1155" w:type="pct"/>
            <w:gridSpan w:val="3"/>
            <w:tcBorders>
              <w:top w:val="nil"/>
              <w:left w:val="nil"/>
              <w:bottom w:val="nil"/>
              <w:right w:val="nil"/>
            </w:tcBorders>
            <w:vAlign w:val="bottom"/>
            <w:hideMark/>
          </w:tcPr>
          <w:p w14:paraId="3DBD1029"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Rest of US, August 2025</w:t>
            </w:r>
          </w:p>
        </w:tc>
        <w:tc>
          <w:tcPr>
            <w:tcW w:w="2428" w:type="pct"/>
            <w:gridSpan w:val="3"/>
            <w:tcBorders>
              <w:top w:val="nil"/>
              <w:left w:val="nil"/>
              <w:bottom w:val="nil"/>
              <w:right w:val="nil"/>
            </w:tcBorders>
            <w:vAlign w:val="bottom"/>
            <w:hideMark/>
          </w:tcPr>
          <w:p w14:paraId="1921C42C"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$14.38</w:t>
            </w:r>
          </w:p>
        </w:tc>
        <w:tc>
          <w:tcPr>
            <w:tcW w:w="724" w:type="pct"/>
            <w:tcBorders>
              <w:top w:val="nil"/>
              <w:left w:val="nil"/>
              <w:bottom w:val="nil"/>
              <w:right w:val="nil"/>
            </w:tcBorders>
            <w:vAlign w:val="bottom"/>
            <w:hideMark/>
          </w:tcPr>
          <w:p w14:paraId="3F6F8634"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$10.22</w:t>
            </w:r>
          </w:p>
        </w:tc>
        <w:tc>
          <w:tcPr>
            <w:tcW w:w="693" w:type="pct"/>
            <w:tcBorders>
              <w:top w:val="nil"/>
              <w:left w:val="nil"/>
              <w:bottom w:val="nil"/>
              <w:right w:val="nil"/>
            </w:tcBorders>
            <w:vAlign w:val="bottom"/>
            <w:hideMark/>
          </w:tcPr>
          <w:p w14:paraId="347C57E7"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$4.18</w:t>
            </w:r>
          </w:p>
        </w:tc>
      </w:tr>
      <w:tr w:rsidR="00855036" w:rsidRPr="00855036" w14:paraId="6934410E" w14:textId="77777777" w:rsidTr="00331E72">
        <w:trPr>
          <w:trHeight w:val="810"/>
        </w:trPr>
        <w:tc>
          <w:tcPr>
            <w:tcW w:w="1155" w:type="pct"/>
            <w:gridSpan w:val="3"/>
            <w:tcBorders>
              <w:top w:val="nil"/>
              <w:left w:val="nil"/>
              <w:bottom w:val="nil"/>
              <w:right w:val="nil"/>
            </w:tcBorders>
            <w:vAlign w:val="bottom"/>
            <w:hideMark/>
          </w:tcPr>
          <w:p w14:paraId="6E051B27"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Rest of US, August 2024</w:t>
            </w:r>
          </w:p>
        </w:tc>
        <w:tc>
          <w:tcPr>
            <w:tcW w:w="2428" w:type="pct"/>
            <w:gridSpan w:val="3"/>
            <w:tcBorders>
              <w:top w:val="nil"/>
              <w:left w:val="nil"/>
              <w:bottom w:val="nil"/>
              <w:right w:val="nil"/>
            </w:tcBorders>
            <w:vAlign w:val="bottom"/>
            <w:hideMark/>
          </w:tcPr>
          <w:p w14:paraId="54EF8F3E"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$14.55</w:t>
            </w:r>
          </w:p>
        </w:tc>
        <w:tc>
          <w:tcPr>
            <w:tcW w:w="724" w:type="pct"/>
            <w:tcBorders>
              <w:top w:val="nil"/>
              <w:left w:val="nil"/>
              <w:bottom w:val="nil"/>
              <w:right w:val="nil"/>
            </w:tcBorders>
            <w:vAlign w:val="bottom"/>
            <w:hideMark/>
          </w:tcPr>
          <w:p w14:paraId="055722E8"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$9.78</w:t>
            </w:r>
          </w:p>
        </w:tc>
        <w:tc>
          <w:tcPr>
            <w:tcW w:w="693" w:type="pct"/>
            <w:tcBorders>
              <w:top w:val="nil"/>
              <w:left w:val="nil"/>
              <w:bottom w:val="nil"/>
              <w:right w:val="nil"/>
            </w:tcBorders>
            <w:vAlign w:val="bottom"/>
            <w:hideMark/>
          </w:tcPr>
          <w:p w14:paraId="7AE2C88A"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$3.38</w:t>
            </w:r>
          </w:p>
        </w:tc>
      </w:tr>
      <w:tr w:rsidR="00855036" w:rsidRPr="00855036" w14:paraId="6BD9A88F" w14:textId="77777777" w:rsidTr="00331E72">
        <w:trPr>
          <w:trHeight w:val="300"/>
        </w:trPr>
        <w:tc>
          <w:tcPr>
            <w:tcW w:w="1155" w:type="pct"/>
            <w:gridSpan w:val="3"/>
            <w:tcBorders>
              <w:top w:val="nil"/>
              <w:left w:val="nil"/>
              <w:bottom w:val="nil"/>
              <w:right w:val="nil"/>
            </w:tcBorders>
            <w:vAlign w:val="bottom"/>
            <w:hideMark/>
          </w:tcPr>
          <w:p w14:paraId="14B097B8"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lastRenderedPageBreak/>
              <w:t xml:space="preserve">   Change</w:t>
            </w:r>
          </w:p>
        </w:tc>
        <w:tc>
          <w:tcPr>
            <w:tcW w:w="2428" w:type="pct"/>
            <w:gridSpan w:val="3"/>
            <w:tcBorders>
              <w:top w:val="nil"/>
              <w:left w:val="nil"/>
              <w:bottom w:val="nil"/>
              <w:right w:val="nil"/>
            </w:tcBorders>
            <w:vAlign w:val="bottom"/>
            <w:hideMark/>
          </w:tcPr>
          <w:p w14:paraId="55B93B52"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-1.2%</w:t>
            </w:r>
          </w:p>
        </w:tc>
        <w:tc>
          <w:tcPr>
            <w:tcW w:w="724" w:type="pct"/>
            <w:tcBorders>
              <w:top w:val="nil"/>
              <w:left w:val="nil"/>
              <w:bottom w:val="nil"/>
              <w:right w:val="nil"/>
            </w:tcBorders>
            <w:vAlign w:val="bottom"/>
            <w:hideMark/>
          </w:tcPr>
          <w:p w14:paraId="3E258B96"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4.5%</w:t>
            </w:r>
          </w:p>
        </w:tc>
        <w:tc>
          <w:tcPr>
            <w:tcW w:w="693" w:type="pct"/>
            <w:tcBorders>
              <w:top w:val="nil"/>
              <w:left w:val="nil"/>
              <w:bottom w:val="nil"/>
              <w:right w:val="nil"/>
            </w:tcBorders>
            <w:vAlign w:val="bottom"/>
            <w:hideMark/>
          </w:tcPr>
          <w:p w14:paraId="4168C851"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23.7%</w:t>
            </w:r>
          </w:p>
        </w:tc>
      </w:tr>
      <w:tr w:rsidR="00855036" w:rsidRPr="00855036" w14:paraId="1B9C0553" w14:textId="77777777" w:rsidTr="00331E72">
        <w:trPr>
          <w:trHeight w:val="300"/>
        </w:trPr>
        <w:tc>
          <w:tcPr>
            <w:tcW w:w="1155" w:type="pct"/>
            <w:gridSpan w:val="3"/>
            <w:tcBorders>
              <w:top w:val="nil"/>
              <w:left w:val="nil"/>
              <w:bottom w:val="nil"/>
              <w:right w:val="nil"/>
            </w:tcBorders>
            <w:vAlign w:val="bottom"/>
            <w:hideMark/>
          </w:tcPr>
          <w:p w14:paraId="18246DB0" w14:textId="77777777" w:rsidR="00855036" w:rsidRPr="00855036" w:rsidRDefault="00855036" w:rsidP="00855036">
            <w:pPr>
              <w:jc w:val="right"/>
              <w:rPr>
                <w:rFonts w:ascii="Calibri" w:eastAsia="Times New Roman" w:hAnsi="Calibri" w:cs="Calibri"/>
                <w:color w:val="000000"/>
                <w:kern w:val="0"/>
                <w14:ligatures w14:val="none"/>
              </w:rPr>
            </w:pPr>
          </w:p>
        </w:tc>
        <w:tc>
          <w:tcPr>
            <w:tcW w:w="2428" w:type="pct"/>
            <w:gridSpan w:val="3"/>
            <w:tcBorders>
              <w:top w:val="nil"/>
              <w:left w:val="nil"/>
              <w:bottom w:val="nil"/>
              <w:right w:val="nil"/>
            </w:tcBorders>
            <w:vAlign w:val="bottom"/>
            <w:hideMark/>
          </w:tcPr>
          <w:p w14:paraId="4890B69A" w14:textId="77777777" w:rsidR="00855036" w:rsidRPr="00855036" w:rsidRDefault="00855036" w:rsidP="00855036">
            <w:pPr>
              <w:rPr>
                <w:rFonts w:ascii="Times New Roman" w:eastAsia="Times New Roman" w:hAnsi="Times New Roman" w:cs="Times New Roman"/>
                <w:kern w:val="0"/>
                <w:sz w:val="20"/>
                <w:szCs w:val="20"/>
                <w14:ligatures w14:val="none"/>
              </w:rPr>
            </w:pPr>
          </w:p>
        </w:tc>
        <w:tc>
          <w:tcPr>
            <w:tcW w:w="724" w:type="pct"/>
            <w:tcBorders>
              <w:top w:val="nil"/>
              <w:left w:val="nil"/>
              <w:bottom w:val="nil"/>
              <w:right w:val="nil"/>
            </w:tcBorders>
            <w:vAlign w:val="bottom"/>
            <w:hideMark/>
          </w:tcPr>
          <w:p w14:paraId="72BA1E97" w14:textId="77777777" w:rsidR="00855036" w:rsidRPr="00855036" w:rsidRDefault="00855036" w:rsidP="00855036">
            <w:pPr>
              <w:jc w:val="right"/>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69346F3A" w14:textId="77777777" w:rsidR="00855036" w:rsidRPr="00855036" w:rsidRDefault="00855036" w:rsidP="00855036">
            <w:pPr>
              <w:jc w:val="right"/>
              <w:rPr>
                <w:rFonts w:ascii="Times New Roman" w:eastAsia="Times New Roman" w:hAnsi="Times New Roman" w:cs="Times New Roman"/>
                <w:kern w:val="0"/>
                <w:sz w:val="20"/>
                <w:szCs w:val="20"/>
                <w14:ligatures w14:val="none"/>
              </w:rPr>
            </w:pPr>
          </w:p>
        </w:tc>
      </w:tr>
      <w:tr w:rsidR="00855036" w:rsidRPr="00855036" w14:paraId="231AFA80" w14:textId="77777777" w:rsidTr="00331E72">
        <w:trPr>
          <w:trHeight w:val="465"/>
        </w:trPr>
        <w:tc>
          <w:tcPr>
            <w:tcW w:w="1155" w:type="pct"/>
            <w:gridSpan w:val="3"/>
            <w:tcBorders>
              <w:top w:val="nil"/>
              <w:left w:val="nil"/>
              <w:bottom w:val="nil"/>
              <w:right w:val="nil"/>
            </w:tcBorders>
            <w:vAlign w:val="bottom"/>
            <w:hideMark/>
          </w:tcPr>
          <w:p w14:paraId="4B85014A"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 premium over Rest of US, August 2025</w:t>
            </w:r>
          </w:p>
        </w:tc>
        <w:tc>
          <w:tcPr>
            <w:tcW w:w="2428" w:type="pct"/>
            <w:gridSpan w:val="3"/>
            <w:tcBorders>
              <w:top w:val="nil"/>
              <w:left w:val="nil"/>
              <w:bottom w:val="nil"/>
              <w:right w:val="nil"/>
            </w:tcBorders>
            <w:vAlign w:val="bottom"/>
            <w:hideMark/>
          </w:tcPr>
          <w:p w14:paraId="488F604E"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46.5%</w:t>
            </w:r>
          </w:p>
        </w:tc>
        <w:tc>
          <w:tcPr>
            <w:tcW w:w="724" w:type="pct"/>
            <w:tcBorders>
              <w:top w:val="nil"/>
              <w:left w:val="nil"/>
              <w:bottom w:val="nil"/>
              <w:right w:val="nil"/>
            </w:tcBorders>
            <w:vAlign w:val="bottom"/>
            <w:hideMark/>
          </w:tcPr>
          <w:p w14:paraId="3F6E63CE"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51.6%</w:t>
            </w:r>
          </w:p>
        </w:tc>
        <w:tc>
          <w:tcPr>
            <w:tcW w:w="693" w:type="pct"/>
            <w:tcBorders>
              <w:top w:val="nil"/>
              <w:left w:val="nil"/>
              <w:bottom w:val="nil"/>
              <w:right w:val="nil"/>
            </w:tcBorders>
            <w:vAlign w:val="bottom"/>
            <w:hideMark/>
          </w:tcPr>
          <w:p w14:paraId="08F7BD04"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194.7%</w:t>
            </w:r>
          </w:p>
        </w:tc>
      </w:tr>
      <w:tr w:rsidR="00855036" w:rsidRPr="00855036" w14:paraId="000E5BA3" w14:textId="77777777" w:rsidTr="00331E72">
        <w:trPr>
          <w:trHeight w:val="600"/>
        </w:trPr>
        <w:tc>
          <w:tcPr>
            <w:tcW w:w="1155" w:type="pct"/>
            <w:gridSpan w:val="3"/>
            <w:tcBorders>
              <w:top w:val="nil"/>
              <w:left w:val="nil"/>
              <w:bottom w:val="nil"/>
              <w:right w:val="nil"/>
            </w:tcBorders>
            <w:vAlign w:val="bottom"/>
            <w:hideMark/>
          </w:tcPr>
          <w:p w14:paraId="5D08D53E" w14:textId="77777777" w:rsidR="00855036" w:rsidRPr="00855036" w:rsidRDefault="00855036" w:rsidP="00855036">
            <w:pPr>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CA premium over Rest of US, August 2024</w:t>
            </w:r>
          </w:p>
        </w:tc>
        <w:tc>
          <w:tcPr>
            <w:tcW w:w="2428" w:type="pct"/>
            <w:gridSpan w:val="3"/>
            <w:tcBorders>
              <w:top w:val="nil"/>
              <w:left w:val="nil"/>
              <w:bottom w:val="nil"/>
              <w:right w:val="nil"/>
            </w:tcBorders>
            <w:vAlign w:val="bottom"/>
            <w:hideMark/>
          </w:tcPr>
          <w:p w14:paraId="36E99613"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34.2%</w:t>
            </w:r>
          </w:p>
        </w:tc>
        <w:tc>
          <w:tcPr>
            <w:tcW w:w="724" w:type="pct"/>
            <w:tcBorders>
              <w:top w:val="nil"/>
              <w:left w:val="nil"/>
              <w:bottom w:val="nil"/>
              <w:right w:val="nil"/>
            </w:tcBorders>
            <w:vAlign w:val="bottom"/>
            <w:hideMark/>
          </w:tcPr>
          <w:p w14:paraId="3A2F159E"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44.4%</w:t>
            </w:r>
          </w:p>
        </w:tc>
        <w:tc>
          <w:tcPr>
            <w:tcW w:w="693" w:type="pct"/>
            <w:tcBorders>
              <w:top w:val="nil"/>
              <w:left w:val="nil"/>
              <w:bottom w:val="nil"/>
              <w:right w:val="nil"/>
            </w:tcBorders>
            <w:vAlign w:val="bottom"/>
            <w:hideMark/>
          </w:tcPr>
          <w:p w14:paraId="3B5D2983" w14:textId="77777777" w:rsidR="00855036" w:rsidRPr="00855036" w:rsidRDefault="00855036" w:rsidP="00855036">
            <w:pPr>
              <w:jc w:val="right"/>
              <w:rPr>
                <w:rFonts w:ascii="Calibri" w:eastAsia="Times New Roman" w:hAnsi="Calibri" w:cs="Calibri"/>
                <w:color w:val="000000"/>
                <w:kern w:val="0"/>
                <w14:ligatures w14:val="none"/>
              </w:rPr>
            </w:pPr>
            <w:r w:rsidRPr="00855036">
              <w:rPr>
                <w:rFonts w:ascii="Calibri" w:eastAsia="Times New Roman" w:hAnsi="Calibri" w:cs="Calibri"/>
                <w:color w:val="000000"/>
                <w:kern w:val="0"/>
                <w14:ligatures w14:val="none"/>
              </w:rPr>
              <w:t>242.6%</w:t>
            </w:r>
          </w:p>
        </w:tc>
      </w:tr>
    </w:tbl>
    <w:p w14:paraId="41C2574E" w14:textId="77777777" w:rsidR="00855036" w:rsidRDefault="00855036"/>
    <w:sectPr w:rsidR="0085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147F"/>
    <w:multiLevelType w:val="hybridMultilevel"/>
    <w:tmpl w:val="FCB4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7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CC"/>
    <w:rsid w:val="000324BC"/>
    <w:rsid w:val="00037E19"/>
    <w:rsid w:val="00117AC5"/>
    <w:rsid w:val="00157B9B"/>
    <w:rsid w:val="001B63DC"/>
    <w:rsid w:val="002247BD"/>
    <w:rsid w:val="0024060E"/>
    <w:rsid w:val="00271CC7"/>
    <w:rsid w:val="002B5884"/>
    <w:rsid w:val="002C0DED"/>
    <w:rsid w:val="002E6EE0"/>
    <w:rsid w:val="00331E72"/>
    <w:rsid w:val="00334045"/>
    <w:rsid w:val="003341BC"/>
    <w:rsid w:val="0039298F"/>
    <w:rsid w:val="003E49A5"/>
    <w:rsid w:val="00415018"/>
    <w:rsid w:val="0042497F"/>
    <w:rsid w:val="00443911"/>
    <w:rsid w:val="00484077"/>
    <w:rsid w:val="004900AE"/>
    <w:rsid w:val="004C3D33"/>
    <w:rsid w:val="00530194"/>
    <w:rsid w:val="00545CEA"/>
    <w:rsid w:val="00573A3C"/>
    <w:rsid w:val="00596941"/>
    <w:rsid w:val="005D246E"/>
    <w:rsid w:val="00637123"/>
    <w:rsid w:val="00640ECD"/>
    <w:rsid w:val="006549BA"/>
    <w:rsid w:val="00695019"/>
    <w:rsid w:val="006E22D4"/>
    <w:rsid w:val="006F6690"/>
    <w:rsid w:val="0073473A"/>
    <w:rsid w:val="007440C7"/>
    <w:rsid w:val="00761992"/>
    <w:rsid w:val="00767316"/>
    <w:rsid w:val="007C3545"/>
    <w:rsid w:val="00824F8F"/>
    <w:rsid w:val="00855036"/>
    <w:rsid w:val="00862806"/>
    <w:rsid w:val="00865855"/>
    <w:rsid w:val="00885A3F"/>
    <w:rsid w:val="008A2CEA"/>
    <w:rsid w:val="008B7227"/>
    <w:rsid w:val="008D3860"/>
    <w:rsid w:val="008F2FAF"/>
    <w:rsid w:val="00900240"/>
    <w:rsid w:val="009102BE"/>
    <w:rsid w:val="00911536"/>
    <w:rsid w:val="0093504B"/>
    <w:rsid w:val="00953F90"/>
    <w:rsid w:val="009569AC"/>
    <w:rsid w:val="009B2BCB"/>
    <w:rsid w:val="009B2F49"/>
    <w:rsid w:val="009F42CC"/>
    <w:rsid w:val="00A1616A"/>
    <w:rsid w:val="00A16F03"/>
    <w:rsid w:val="00A36DCF"/>
    <w:rsid w:val="00A551BB"/>
    <w:rsid w:val="00AD075D"/>
    <w:rsid w:val="00AD38F7"/>
    <w:rsid w:val="00AE7C85"/>
    <w:rsid w:val="00B03B88"/>
    <w:rsid w:val="00B14806"/>
    <w:rsid w:val="00B35B21"/>
    <w:rsid w:val="00B37F11"/>
    <w:rsid w:val="00B774EE"/>
    <w:rsid w:val="00B83F6F"/>
    <w:rsid w:val="00B84D37"/>
    <w:rsid w:val="00BA103A"/>
    <w:rsid w:val="00BC140C"/>
    <w:rsid w:val="00C07557"/>
    <w:rsid w:val="00C13730"/>
    <w:rsid w:val="00C205B8"/>
    <w:rsid w:val="00C760AE"/>
    <w:rsid w:val="00CB5153"/>
    <w:rsid w:val="00CC37C1"/>
    <w:rsid w:val="00D0240B"/>
    <w:rsid w:val="00D20346"/>
    <w:rsid w:val="00D216F4"/>
    <w:rsid w:val="00D500BC"/>
    <w:rsid w:val="00D75506"/>
    <w:rsid w:val="00DA3CD2"/>
    <w:rsid w:val="00DD4A45"/>
    <w:rsid w:val="00E01FE2"/>
    <w:rsid w:val="00E02767"/>
    <w:rsid w:val="00E74049"/>
    <w:rsid w:val="00E76DB6"/>
    <w:rsid w:val="00E83552"/>
    <w:rsid w:val="00E85536"/>
    <w:rsid w:val="00EF13AC"/>
    <w:rsid w:val="00F163F9"/>
    <w:rsid w:val="00FA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EBD2"/>
  <w15:chartTrackingRefBased/>
  <w15:docId w15:val="{839D38DA-ED4A-4173-90A4-E4318353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9F42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2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2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2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2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2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9F4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2CC"/>
    <w:rPr>
      <w:rFonts w:eastAsiaTheme="majorEastAsia" w:cstheme="majorBidi"/>
      <w:color w:val="272727" w:themeColor="text1" w:themeTint="D8"/>
    </w:rPr>
  </w:style>
  <w:style w:type="paragraph" w:styleId="Title">
    <w:name w:val="Title"/>
    <w:basedOn w:val="Normal"/>
    <w:next w:val="Normal"/>
    <w:link w:val="TitleChar"/>
    <w:uiPriority w:val="10"/>
    <w:qFormat/>
    <w:rsid w:val="009F42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2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2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2CC"/>
    <w:rPr>
      <w:rFonts w:ascii="Garamond" w:hAnsi="Garamond"/>
      <w:i/>
      <w:iCs/>
      <w:color w:val="404040" w:themeColor="text1" w:themeTint="BF"/>
    </w:rPr>
  </w:style>
  <w:style w:type="paragraph" w:styleId="ListParagraph">
    <w:name w:val="List Paragraph"/>
    <w:basedOn w:val="Normal"/>
    <w:uiPriority w:val="34"/>
    <w:qFormat/>
    <w:rsid w:val="009F42CC"/>
    <w:pPr>
      <w:ind w:left="720"/>
      <w:contextualSpacing/>
    </w:pPr>
  </w:style>
  <w:style w:type="character" w:styleId="IntenseEmphasis">
    <w:name w:val="Intense Emphasis"/>
    <w:basedOn w:val="DefaultParagraphFont"/>
    <w:uiPriority w:val="21"/>
    <w:qFormat/>
    <w:rsid w:val="009F42CC"/>
    <w:rPr>
      <w:i/>
      <w:iCs/>
      <w:color w:val="0F4761" w:themeColor="accent1" w:themeShade="BF"/>
    </w:rPr>
  </w:style>
  <w:style w:type="paragraph" w:styleId="IntenseQuote">
    <w:name w:val="Intense Quote"/>
    <w:basedOn w:val="Normal"/>
    <w:next w:val="Normal"/>
    <w:link w:val="IntenseQuoteChar"/>
    <w:uiPriority w:val="30"/>
    <w:qFormat/>
    <w:rsid w:val="009F4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2CC"/>
    <w:rPr>
      <w:rFonts w:ascii="Garamond" w:hAnsi="Garamond"/>
      <w:i/>
      <w:iCs/>
      <w:color w:val="0F4761" w:themeColor="accent1" w:themeShade="BF"/>
    </w:rPr>
  </w:style>
  <w:style w:type="character" w:styleId="IntenseReference">
    <w:name w:val="Intense Reference"/>
    <w:basedOn w:val="DefaultParagraphFont"/>
    <w:uiPriority w:val="32"/>
    <w:qFormat/>
    <w:rsid w:val="009F42CC"/>
    <w:rPr>
      <w:b/>
      <w:bCs/>
      <w:smallCaps/>
      <w:color w:val="0F4761" w:themeColor="accent1" w:themeShade="BF"/>
      <w:spacing w:val="5"/>
    </w:rPr>
  </w:style>
  <w:style w:type="character" w:styleId="Hyperlink">
    <w:name w:val="Hyperlink"/>
    <w:basedOn w:val="DefaultParagraphFont"/>
    <w:uiPriority w:val="99"/>
    <w:unhideWhenUsed/>
    <w:rsid w:val="00855036"/>
    <w:rPr>
      <w:color w:val="467886" w:themeColor="hyperlink"/>
      <w:u w:val="single"/>
    </w:rPr>
  </w:style>
  <w:style w:type="character" w:styleId="UnresolvedMention">
    <w:name w:val="Unresolved Mention"/>
    <w:basedOn w:val="DefaultParagraphFont"/>
    <w:uiPriority w:val="99"/>
    <w:semiHidden/>
    <w:unhideWhenUsed/>
    <w:rsid w:val="00855036"/>
    <w:rPr>
      <w:color w:val="605E5C"/>
      <w:shd w:val="clear" w:color="auto" w:fill="E1DFDD"/>
    </w:rPr>
  </w:style>
  <w:style w:type="character" w:styleId="FollowedHyperlink">
    <w:name w:val="FollowedHyperlink"/>
    <w:basedOn w:val="DefaultParagraphFont"/>
    <w:uiPriority w:val="99"/>
    <w:semiHidden/>
    <w:unhideWhenUsed/>
    <w:rsid w:val="00885A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todayinenergy/detail.php?id=65704" TargetMode="External"/><Relationship Id="rId13" Type="http://schemas.openxmlformats.org/officeDocument/2006/relationships/hyperlink" Target="https://escholarship.org/uc/item/32d6m0d1" TargetMode="External"/><Relationship Id="rId18" Type="http://schemas.openxmlformats.org/officeDocument/2006/relationships/hyperlink" Target="https://escholarship.org/uc/item/32d6m0d1"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www.eia.gov/outlooks/steo/data/browser/" TargetMode="External"/><Relationship Id="rId12" Type="http://schemas.openxmlformats.org/officeDocument/2006/relationships/hyperlink" Target="https://www.buildcentral.com/data-center-construction/"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cbee.com/news/politics-government/capitol-alert/article312878712.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gasprices.aaa.com/"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hyperlink" Target="http://www.centerforjobs.org/ca" TargetMode="External"/><Relationship Id="rId15" Type="http://schemas.openxmlformats.org/officeDocument/2006/relationships/hyperlink" Target="https://www.gov.ca.gov/2025/11/06/world-leading-economy-and-climate-solutions-californias-emissions-drop-in-2023-driven-by-clean-transportation/" TargetMode="External"/><Relationship Id="rId23" Type="http://schemas.openxmlformats.org/officeDocument/2006/relationships/hyperlink" Target="https://www.fueleconomy.gov/" TargetMode="External"/><Relationship Id="rId10" Type="http://schemas.openxmlformats.org/officeDocument/2006/relationships/hyperlink" Target="https://www.wsj.com/business/energy-oil/ai-data-centers-desperate-for-electricity-are-building-their-own-power-plants-291f5c81?mod=djemlogistics_h"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2.arb.ca.gov/ghg-inventory-data" TargetMode="External"/><Relationship Id="rId22" Type="http://schemas.openxmlformats.org/officeDocument/2006/relationships/hyperlink" Target="https://gasprices.aaa.com/ev-charging-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16</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31</cp:revision>
  <dcterms:created xsi:type="dcterms:W3CDTF">2025-10-17T20:16:00Z</dcterms:created>
  <dcterms:modified xsi:type="dcterms:W3CDTF">2025-11-12T22:39:00Z</dcterms:modified>
</cp:coreProperties>
</file>